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0E10" w14:textId="408734A6" w:rsidR="00BF2C32" w:rsidRPr="003C7FE6" w:rsidRDefault="00BF2C32" w:rsidP="003C7FE6">
      <w:pPr>
        <w:rPr>
          <w:rFonts w:ascii="Montserrat" w:hAnsi="Montserrat"/>
          <w:sz w:val="18"/>
          <w:szCs w:val="18"/>
        </w:rPr>
      </w:pPr>
    </w:p>
    <w:p w14:paraId="3CA297C1" w14:textId="77777777" w:rsidR="003C7FE6" w:rsidRPr="003C7FE6" w:rsidRDefault="003C7FE6" w:rsidP="003C7FE6">
      <w:pPr>
        <w:pStyle w:val="Heading1"/>
        <w:spacing w:before="100"/>
        <w:rPr>
          <w:rFonts w:ascii="Montserrat" w:eastAsia="Calibri" w:hAnsi="Montserrat"/>
          <w:bCs w:val="0"/>
          <w:color w:val="3A5E9D"/>
          <w:kern w:val="0"/>
          <w:sz w:val="26"/>
          <w:szCs w:val="26"/>
          <w:lang w:val="en-GB"/>
        </w:rPr>
      </w:pPr>
      <w:r w:rsidRPr="003C7FE6">
        <w:rPr>
          <w:rFonts w:ascii="Montserrat" w:hAnsi="Montserrat"/>
          <w:b w:val="0"/>
          <w:color w:val="3A5E9D"/>
          <w:sz w:val="26"/>
          <w:szCs w:val="26"/>
          <w:lang w:val="en-GB"/>
        </w:rPr>
        <w:br/>
      </w:r>
      <w:r w:rsidRPr="003C7FE6">
        <w:rPr>
          <w:rFonts w:ascii="Montserrat" w:eastAsia="Calibri" w:hAnsi="Montserrat"/>
          <w:bCs w:val="0"/>
          <w:color w:val="3A5E9D"/>
          <w:kern w:val="0"/>
          <w:sz w:val="26"/>
          <w:szCs w:val="26"/>
          <w:lang w:val="en-GB"/>
        </w:rPr>
        <w:t xml:space="preserve">Croatian </w:t>
      </w:r>
    </w:p>
    <w:p w14:paraId="44A49CE8" w14:textId="77777777" w:rsidR="003C7FE6" w:rsidRPr="003C7FE6" w:rsidRDefault="003C7FE6" w:rsidP="003C7FE6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</w:pPr>
    </w:p>
    <w:p w14:paraId="7A24494B" w14:textId="77777777" w:rsidR="003C7FE6" w:rsidRPr="003C7FE6" w:rsidRDefault="003C7FE6" w:rsidP="003C7FE6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</w:pPr>
      <w:proofErr w:type="spellStart"/>
      <w:r w:rsidRPr="003C7FE6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Osnovna</w:t>
      </w:r>
      <w:proofErr w:type="spellEnd"/>
      <w:r w:rsidRPr="003C7FE6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međunarodna</w:t>
      </w:r>
      <w:proofErr w:type="spellEnd"/>
      <w:r w:rsidRPr="003C7FE6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medijacijska</w:t>
      </w:r>
      <w:proofErr w:type="spellEnd"/>
      <w:r w:rsidRPr="003C7FE6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klauzula</w:t>
      </w:r>
      <w:proofErr w:type="spellEnd"/>
    </w:p>
    <w:p w14:paraId="5D1CBA5B" w14:textId="77777777" w:rsidR="003C7FE6" w:rsidRPr="003C7FE6" w:rsidRDefault="003C7FE6" w:rsidP="003C7FE6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</w:p>
    <w:p w14:paraId="3226157E" w14:textId="77777777" w:rsidR="003C7FE6" w:rsidRPr="003C7FE6" w:rsidRDefault="003C7FE6" w:rsidP="003C7FE6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 w:rsidRPr="003C7FE6">
        <w:rPr>
          <w:rFonts w:ascii="Montserrat" w:eastAsia="Times New Roman" w:hAnsi="Montserrat" w:cs="Humanist777BT-LightB"/>
          <w:color w:val="3A5E9D"/>
          <w:lang w:eastAsia="en-GB"/>
        </w:rPr>
        <w:t>OSNOVNI TEKST</w:t>
      </w:r>
    </w:p>
    <w:p w14:paraId="7A1353D8" w14:textId="77777777" w:rsidR="003C7FE6" w:rsidRPr="003C7FE6" w:rsidRDefault="003C7FE6" w:rsidP="003C7FE6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 w:rsidRPr="003C7FE6">
        <w:rPr>
          <w:rFonts w:ascii="Montserrat" w:hAnsi="Montserrat"/>
          <w:color w:val="231F20"/>
          <w:w w:val="105"/>
        </w:rPr>
        <w:t>‘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Svaki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spor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koji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nastane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iz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ovog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ugovora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stranke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bookmarkStart w:id="0" w:name="_GoBack"/>
      <w:bookmarkEnd w:id="0"/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pokušati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rije</w:t>
      </w:r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?iti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mirenjem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(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medijacijom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) u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skladu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CEDR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modelom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postupka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mirenja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Osim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ako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stranke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ne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dogovore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drugačije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mirenje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počinje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</w:t>
      </w:r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?eti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najkasnije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roku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od 28 dana od dana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kada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je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jedna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stranka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podnijela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drugoj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prijedlog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za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mirenje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Ako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među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strankama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ne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bude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dogovoreno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drugačije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izmiritelja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(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medijatora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) </w:t>
      </w: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imenovati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CEDR.</w:t>
      </w:r>
    </w:p>
    <w:p w14:paraId="528473D6" w14:textId="77777777" w:rsidR="003C7FE6" w:rsidRPr="003C7FE6" w:rsidRDefault="003C7FE6" w:rsidP="003C7FE6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3E5CC803" w14:textId="77777777" w:rsidR="003C7FE6" w:rsidRPr="003C7FE6" w:rsidRDefault="003C7FE6" w:rsidP="003C7FE6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Mirenje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provesti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(grad/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država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bilo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koje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od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stranaka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).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Jezik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postupku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mirenja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bit </w:t>
      </w: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(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engleski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). Na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sporazum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mirenju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primijenit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CEDR model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postupka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mirenja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kojim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Sporazum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mirenju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uređuje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tumači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stupa </w:t>
      </w: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na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snagu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sukladno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odredbama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materijalnog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prava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(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Engleske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Welsa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).</w:t>
      </w:r>
    </w:p>
    <w:p w14:paraId="0871EAD1" w14:textId="77777777" w:rsidR="003C7FE6" w:rsidRPr="003C7FE6" w:rsidRDefault="003C7FE6" w:rsidP="003C7FE6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154A1198" w14:textId="77777777" w:rsidR="003C7FE6" w:rsidRPr="003C7FE6" w:rsidRDefault="003C7FE6" w:rsidP="003C7FE6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Ako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spor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ne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riješi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postupku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mirenja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roku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od</w:t>
      </w:r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(14) dana od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početka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mirenja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ili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daljnjem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roku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kojem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stranke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postignu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pisanu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suglasnost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spor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riješiti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arbitražom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CEDR </w:t>
      </w: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biti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je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tijelo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koje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administrira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sva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pitanja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vezana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za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rad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arbitraže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.</w:t>
      </w:r>
    </w:p>
    <w:p w14:paraId="5591BA80" w14:textId="77777777" w:rsidR="003C7FE6" w:rsidRPr="003C7FE6" w:rsidRDefault="003C7FE6" w:rsidP="003C7FE6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52ACA8E0" w14:textId="77777777" w:rsidR="003C7FE6" w:rsidRPr="003C7FE6" w:rsidRDefault="003C7FE6" w:rsidP="003C7FE6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CEDR </w:t>
      </w: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primjenjivati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UNCITRAL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arbitražna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pravila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važeća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vrijeme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pokretanja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arbitražnog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postupka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Arbitražni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postupak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vodit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(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jedan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/tri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arbitar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). </w:t>
      </w: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Za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mjesto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arbitraže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određuje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(London,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Engleska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eastAsia="en-GB"/>
        </w:rPr>
        <w:t>).’</w:t>
      </w:r>
      <w:proofErr w:type="gramEnd"/>
    </w:p>
    <w:p w14:paraId="44D77430" w14:textId="77777777" w:rsidR="003C7FE6" w:rsidRPr="003C7FE6" w:rsidRDefault="003C7FE6" w:rsidP="003C7FE6">
      <w:pPr>
        <w:spacing w:after="0" w:line="360" w:lineRule="auto"/>
        <w:jc w:val="both"/>
        <w:rPr>
          <w:rFonts w:ascii="Montserrat" w:eastAsia="Calibri" w:hAnsi="Montserrat" w:cs="Times New Roman"/>
          <w:sz w:val="18"/>
          <w:lang w:val="nl-NL"/>
        </w:rPr>
      </w:pPr>
    </w:p>
    <w:p w14:paraId="189134F9" w14:textId="77777777" w:rsidR="003C7FE6" w:rsidRPr="003C7FE6" w:rsidRDefault="003C7FE6" w:rsidP="003C7FE6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 w:rsidRPr="003C7FE6">
        <w:rPr>
          <w:rFonts w:ascii="Montserrat" w:eastAsia="Times New Roman" w:hAnsi="Montserrat" w:cs="Humanist777BT-LightB"/>
          <w:color w:val="3A5E9D"/>
          <w:lang w:eastAsia="en-GB"/>
        </w:rPr>
        <w:t>BILJEŠKE</w:t>
      </w:r>
    </w:p>
    <w:p w14:paraId="15A9FEA4" w14:textId="77777777" w:rsidR="003C7FE6" w:rsidRPr="003C7FE6" w:rsidRDefault="003C7FE6" w:rsidP="003C7FE6">
      <w:pPr>
        <w:pStyle w:val="BodyText"/>
        <w:spacing w:before="56" w:line="304" w:lineRule="auto"/>
        <w:ind w:right="638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Ovakav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prijedlog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teksta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osnovne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klauzule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mirenju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trebao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bi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biti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prikladan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za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sve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međunarodne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ugovore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odnosno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za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ugovore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između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stranaka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iz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različitih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jurisdikcija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Klauzula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može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sadržavati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odredbe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koje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se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odnose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na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mjesto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/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jezik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mirenja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kao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odredbe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kojima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se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uređuje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nadležnost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mjerodavno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pravo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koje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se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primjenjuje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na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sporazum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mirenju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</w:p>
    <w:p w14:paraId="359A8650" w14:textId="77777777" w:rsidR="003C7FE6" w:rsidRPr="003C7FE6" w:rsidRDefault="003C7FE6" w:rsidP="003C7FE6">
      <w:pPr>
        <w:pStyle w:val="BodyText"/>
        <w:spacing w:before="6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041F6F67" w14:textId="77777777" w:rsidR="003C7FE6" w:rsidRPr="003C7FE6" w:rsidRDefault="003C7FE6" w:rsidP="003C7FE6">
      <w:pPr>
        <w:pStyle w:val="BodyText"/>
        <w:spacing w:line="304" w:lineRule="auto"/>
        <w:ind w:right="641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Klauzulom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arbitraži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pod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pokroviteljstvom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CEDR-a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za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slučaj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da se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spor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ne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riješi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mirenjem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suglasnošću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stranaka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moguće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je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odrediti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drugu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arbitražnu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institucija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za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provođenje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arbitraže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primjenu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pravila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te</w:t>
      </w:r>
      <w:proofErr w:type="spellEnd"/>
      <w:proofErr w:type="gram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institucije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</w:p>
    <w:p w14:paraId="450168B5" w14:textId="77777777" w:rsidR="003C7FE6" w:rsidRPr="003C7FE6" w:rsidRDefault="003C7FE6" w:rsidP="003C7FE6">
      <w:pPr>
        <w:pStyle w:val="BodyText"/>
        <w:spacing w:before="6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621ABA9F" w14:textId="77777777" w:rsidR="003C7FE6" w:rsidRPr="003C7FE6" w:rsidRDefault="003C7FE6" w:rsidP="003C7FE6">
      <w:pPr>
        <w:pStyle w:val="BodyText"/>
        <w:spacing w:before="1" w:line="304" w:lineRule="auto"/>
        <w:ind w:right="643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proofErr w:type="gram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Klauzula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se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može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izmijeniti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dopuniti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ako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ugovorne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stranke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žele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jasnije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odrediti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pojedine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obveze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stranaka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u tom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pogledu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mogu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zatražiti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pomoć</w:t>
      </w:r>
      <w:proofErr w:type="spellEnd"/>
      <w:r w:rsidRPr="003C7FE6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CEDR London.</w:t>
      </w:r>
      <w:proofErr w:type="gramEnd"/>
    </w:p>
    <w:p w14:paraId="367661EB" w14:textId="77777777" w:rsidR="003C7FE6" w:rsidRPr="003C7FE6" w:rsidRDefault="003C7FE6" w:rsidP="003C7FE6">
      <w:pPr>
        <w:pStyle w:val="BodyText"/>
        <w:rPr>
          <w:rFonts w:ascii="Montserrat" w:hAnsi="Montserrat"/>
          <w:sz w:val="24"/>
        </w:rPr>
      </w:pPr>
    </w:p>
    <w:p w14:paraId="76974D62" w14:textId="77777777" w:rsidR="003C7FE6" w:rsidRPr="003C7FE6" w:rsidRDefault="003C7FE6" w:rsidP="003C7FE6">
      <w:pPr>
        <w:pStyle w:val="BodyText"/>
        <w:spacing w:before="3"/>
        <w:rPr>
          <w:rFonts w:ascii="Montserrat" w:hAnsi="Montserrat"/>
          <w:sz w:val="28"/>
        </w:rPr>
      </w:pPr>
    </w:p>
    <w:p w14:paraId="2580A0B7" w14:textId="77777777" w:rsidR="003C7FE6" w:rsidRPr="003C7FE6" w:rsidRDefault="003C7FE6" w:rsidP="003C7FE6">
      <w:pPr>
        <w:pStyle w:val="BodyText"/>
        <w:spacing w:line="304" w:lineRule="auto"/>
        <w:ind w:right="2730"/>
        <w:rPr>
          <w:rFonts w:ascii="Montserrat" w:hAnsi="Montserrat"/>
          <w:sz w:val="20"/>
        </w:rPr>
      </w:pPr>
      <w:proofErr w:type="spellStart"/>
      <w:r w:rsidRPr="003C7FE6">
        <w:rPr>
          <w:rFonts w:ascii="Montserrat" w:hAnsi="Montserrat"/>
          <w:color w:val="A7A9AC"/>
          <w:w w:val="105"/>
          <w:sz w:val="20"/>
        </w:rPr>
        <w:t>Za</w:t>
      </w:r>
      <w:proofErr w:type="spellEnd"/>
      <w:r w:rsidRPr="003C7FE6">
        <w:rPr>
          <w:rFonts w:ascii="Montserrat" w:hAnsi="Montserrat"/>
          <w:color w:val="A7A9AC"/>
          <w:w w:val="105"/>
          <w:sz w:val="20"/>
        </w:rPr>
        <w:t xml:space="preserve"> </w:t>
      </w:r>
      <w:proofErr w:type="spellStart"/>
      <w:r w:rsidRPr="003C7FE6">
        <w:rPr>
          <w:rFonts w:ascii="Montserrat" w:hAnsi="Montserrat"/>
          <w:color w:val="A7A9AC"/>
          <w:w w:val="105"/>
          <w:sz w:val="20"/>
        </w:rPr>
        <w:t>detaljnije</w:t>
      </w:r>
      <w:proofErr w:type="spellEnd"/>
      <w:r w:rsidRPr="003C7FE6">
        <w:rPr>
          <w:rFonts w:ascii="Montserrat" w:hAnsi="Montserrat"/>
          <w:color w:val="A7A9AC"/>
          <w:w w:val="105"/>
          <w:sz w:val="20"/>
        </w:rPr>
        <w:t xml:space="preserve"> </w:t>
      </w:r>
      <w:proofErr w:type="spellStart"/>
      <w:r w:rsidRPr="003C7FE6">
        <w:rPr>
          <w:rFonts w:ascii="Montserrat" w:hAnsi="Montserrat"/>
          <w:color w:val="A7A9AC"/>
          <w:w w:val="105"/>
          <w:sz w:val="20"/>
        </w:rPr>
        <w:t>informacije</w:t>
      </w:r>
      <w:proofErr w:type="spellEnd"/>
      <w:r w:rsidRPr="003C7FE6">
        <w:rPr>
          <w:rFonts w:ascii="Montserrat" w:hAnsi="Montserrat"/>
          <w:color w:val="A7A9AC"/>
          <w:w w:val="105"/>
          <w:sz w:val="20"/>
        </w:rPr>
        <w:t xml:space="preserve"> </w:t>
      </w:r>
      <w:proofErr w:type="spellStart"/>
      <w:r w:rsidRPr="003C7FE6">
        <w:rPr>
          <w:rFonts w:ascii="Montserrat" w:hAnsi="Montserrat"/>
          <w:color w:val="A7A9AC"/>
          <w:w w:val="105"/>
          <w:sz w:val="20"/>
        </w:rPr>
        <w:t>upućujemo</w:t>
      </w:r>
      <w:proofErr w:type="spellEnd"/>
      <w:r w:rsidRPr="003C7FE6">
        <w:rPr>
          <w:rFonts w:ascii="Montserrat" w:hAnsi="Montserrat"/>
          <w:color w:val="A7A9AC"/>
          <w:w w:val="105"/>
          <w:sz w:val="20"/>
        </w:rPr>
        <w:t xml:space="preserve"> se </w:t>
      </w:r>
      <w:proofErr w:type="spellStart"/>
      <w:proofErr w:type="gramStart"/>
      <w:r w:rsidRPr="003C7FE6">
        <w:rPr>
          <w:rFonts w:ascii="Montserrat" w:hAnsi="Montserrat"/>
          <w:color w:val="A7A9AC"/>
          <w:w w:val="105"/>
          <w:sz w:val="20"/>
        </w:rPr>
        <w:t>na</w:t>
      </w:r>
      <w:proofErr w:type="spellEnd"/>
      <w:proofErr w:type="gramEnd"/>
      <w:r w:rsidRPr="003C7FE6">
        <w:rPr>
          <w:rFonts w:ascii="Montserrat" w:hAnsi="Montserrat"/>
          <w:color w:val="A7A9AC"/>
          <w:w w:val="105"/>
          <w:sz w:val="20"/>
        </w:rPr>
        <w:t xml:space="preserve"> CEDR </w:t>
      </w:r>
      <w:proofErr w:type="spellStart"/>
      <w:r w:rsidRPr="003C7FE6">
        <w:rPr>
          <w:rFonts w:ascii="Montserrat" w:hAnsi="Montserrat"/>
          <w:color w:val="A7A9AC"/>
          <w:w w:val="105"/>
          <w:sz w:val="20"/>
        </w:rPr>
        <w:t>modele</w:t>
      </w:r>
      <w:proofErr w:type="spellEnd"/>
      <w:r w:rsidRPr="003C7FE6">
        <w:rPr>
          <w:rFonts w:ascii="Montserrat" w:hAnsi="Montserrat"/>
          <w:color w:val="A7A9AC"/>
          <w:w w:val="105"/>
          <w:sz w:val="20"/>
        </w:rPr>
        <w:t xml:space="preserve"> ADR </w:t>
      </w:r>
      <w:proofErr w:type="spellStart"/>
      <w:r w:rsidRPr="003C7FE6">
        <w:rPr>
          <w:rFonts w:ascii="Montserrat" w:hAnsi="Montserrat"/>
          <w:color w:val="A7A9AC"/>
          <w:w w:val="105"/>
          <w:sz w:val="20"/>
        </w:rPr>
        <w:t>klauzula</w:t>
      </w:r>
      <w:proofErr w:type="spellEnd"/>
      <w:r w:rsidRPr="003C7FE6">
        <w:rPr>
          <w:rFonts w:ascii="Montserrat" w:hAnsi="Montserrat"/>
          <w:color w:val="A7A9AC"/>
          <w:w w:val="105"/>
          <w:sz w:val="20"/>
        </w:rPr>
        <w:t xml:space="preserve">: </w:t>
      </w:r>
      <w:hyperlink r:id="rId8" w:history="1">
        <w:r w:rsidRPr="003C7FE6">
          <w:rPr>
            <w:rStyle w:val="Hyperlink"/>
            <w:rFonts w:ascii="Montserrat" w:hAnsi="Montserrat"/>
            <w:color w:val="A7A9AC"/>
            <w:w w:val="105"/>
            <w:sz w:val="20"/>
          </w:rPr>
          <w:t>http://www.cedr.com/modeldocuments</w:t>
        </w:r>
      </w:hyperlink>
    </w:p>
    <w:p w14:paraId="52A2468D" w14:textId="77777777" w:rsidR="003C7FE6" w:rsidRPr="003C7FE6" w:rsidRDefault="003C7FE6" w:rsidP="003C7FE6">
      <w:pPr>
        <w:spacing w:line="360" w:lineRule="auto"/>
        <w:rPr>
          <w:rFonts w:ascii="Montserrat" w:hAnsi="Montserrat"/>
          <w:sz w:val="18"/>
        </w:rPr>
      </w:pPr>
    </w:p>
    <w:p w14:paraId="439457A8" w14:textId="77777777" w:rsidR="003C7FE6" w:rsidRPr="003C7FE6" w:rsidRDefault="003C7FE6" w:rsidP="003C7FE6">
      <w:pPr>
        <w:rPr>
          <w:rFonts w:ascii="Montserrat" w:hAnsi="Montserrat"/>
          <w:sz w:val="18"/>
          <w:szCs w:val="18"/>
        </w:rPr>
      </w:pPr>
    </w:p>
    <w:sectPr w:rsidR="003C7FE6" w:rsidRPr="003C7FE6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3C7FE6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3C7FE6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3C7FE6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3C7FE6"/>
    <w:rsid w:val="0042710E"/>
    <w:rsid w:val="004F7CDE"/>
    <w:rsid w:val="005E03C1"/>
    <w:rsid w:val="00774C5F"/>
    <w:rsid w:val="00877D33"/>
    <w:rsid w:val="008D154F"/>
    <w:rsid w:val="00BF2C32"/>
    <w:rsid w:val="00CB6D22"/>
    <w:rsid w:val="00CE3373"/>
    <w:rsid w:val="00D4539D"/>
    <w:rsid w:val="00D62D15"/>
    <w:rsid w:val="00E544F6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FE6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7FE6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7FE6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7FE6"/>
    <w:rPr>
      <w:rFonts w:ascii="Humnst777 Lt BT" w:eastAsia="Humnst777 Lt BT" w:hAnsi="Humnst777 Lt BT" w:cs="Humnst777 Lt BT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FE6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7FE6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7FE6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7FE6"/>
    <w:rPr>
      <w:rFonts w:ascii="Humnst777 Lt BT" w:eastAsia="Humnst777 Lt BT" w:hAnsi="Humnst777 Lt BT" w:cs="Humnst777 Lt BT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modeldocumen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ABA4-CDFF-4E1A-9397-E46A16CD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Oliver de St Croix</cp:lastModifiedBy>
  <cp:revision>2</cp:revision>
  <dcterms:created xsi:type="dcterms:W3CDTF">2019-09-10T12:30:00Z</dcterms:created>
  <dcterms:modified xsi:type="dcterms:W3CDTF">2019-09-10T12:30:00Z</dcterms:modified>
</cp:coreProperties>
</file>