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56C23" w14:textId="77777777" w:rsidR="00621AC7" w:rsidRPr="004332B3" w:rsidRDefault="00621AC7" w:rsidP="00621AC7">
      <w:pPr>
        <w:spacing w:line="360" w:lineRule="auto"/>
        <w:jc w:val="both"/>
        <w:rPr>
          <w:rFonts w:ascii="Helvetica" w:hAnsi="Helvetica"/>
          <w:b/>
          <w:color w:val="3A5E9D"/>
          <w:sz w:val="26"/>
        </w:rPr>
      </w:pPr>
      <w:r w:rsidRPr="004332B3">
        <w:rPr>
          <w:rFonts w:ascii="Helvetica" w:hAnsi="Helvetica"/>
          <w:b/>
          <w:color w:val="3A5E9D"/>
          <w:sz w:val="26"/>
        </w:rPr>
        <w:br/>
      </w:r>
      <w:r w:rsidRPr="004332B3">
        <w:rPr>
          <w:rFonts w:ascii="Helvetica" w:hAnsi="Helvetica"/>
          <w:b/>
          <w:color w:val="3A5E9D"/>
          <w:sz w:val="26"/>
          <w:lang w:val="id-ID"/>
        </w:rPr>
        <w:t>Bahasa Indonesia</w:t>
      </w:r>
    </w:p>
    <w:p w14:paraId="65E2FEAE" w14:textId="218AC841" w:rsidR="00621AC7" w:rsidRDefault="00621AC7" w:rsidP="00621AC7">
      <w:pPr>
        <w:spacing w:line="360" w:lineRule="auto"/>
        <w:jc w:val="both"/>
        <w:rPr>
          <w:rFonts w:ascii="Helvetica" w:hAnsi="Helvetica"/>
          <w:b/>
          <w:color w:val="3A5E9D"/>
          <w:sz w:val="18"/>
        </w:rPr>
      </w:pPr>
      <w:r w:rsidRPr="004332B3">
        <w:rPr>
          <w:rFonts w:ascii="Helvetica" w:hAnsi="Helvetica"/>
          <w:b/>
          <w:color w:val="3A5E9D"/>
          <w:sz w:val="18"/>
          <w:lang w:val="id-ID"/>
        </w:rPr>
        <w:t>Klausula Poko</w:t>
      </w:r>
      <w:r>
        <w:rPr>
          <w:rFonts w:ascii="Helvetica" w:hAnsi="Helvetica"/>
          <w:b/>
          <w:color w:val="3A5E9D"/>
          <w:sz w:val="18"/>
          <w:lang w:val="id-ID"/>
        </w:rPr>
        <w:t xml:space="preserve">k Mediasi Secara Internasional </w:t>
      </w:r>
    </w:p>
    <w:p w14:paraId="643125FA" w14:textId="77777777" w:rsidR="00621AC7" w:rsidRPr="00621AC7" w:rsidRDefault="00621AC7" w:rsidP="00621AC7">
      <w:pPr>
        <w:spacing w:line="360" w:lineRule="auto"/>
        <w:jc w:val="both"/>
        <w:rPr>
          <w:rFonts w:ascii="Helvetica" w:hAnsi="Helvetica"/>
          <w:b/>
          <w:color w:val="3A5E9D"/>
          <w:sz w:val="18"/>
        </w:rPr>
      </w:pPr>
    </w:p>
    <w:p w14:paraId="505139A5" w14:textId="77777777" w:rsidR="00621AC7" w:rsidRPr="004332B3" w:rsidRDefault="00621AC7" w:rsidP="00621AC7">
      <w:pPr>
        <w:spacing w:line="360" w:lineRule="auto"/>
        <w:jc w:val="both"/>
        <w:rPr>
          <w:rFonts w:ascii="Helvetica" w:hAnsi="Helvetica"/>
          <w:color w:val="3A5E9D"/>
        </w:rPr>
      </w:pPr>
      <w:r w:rsidRPr="004332B3">
        <w:rPr>
          <w:rFonts w:ascii="Helvetica" w:hAnsi="Helvetica"/>
          <w:color w:val="3A5E9D"/>
          <w:lang w:val="id-ID"/>
        </w:rPr>
        <w:t xml:space="preserve">KLAUSULA INTI </w:t>
      </w:r>
    </w:p>
    <w:p w14:paraId="571D4003" w14:textId="77777777" w:rsidR="00621AC7" w:rsidRPr="004332B3" w:rsidRDefault="00621AC7" w:rsidP="00621AC7">
      <w:pPr>
        <w:spacing w:line="360" w:lineRule="auto"/>
        <w:jc w:val="both"/>
        <w:rPr>
          <w:rFonts w:ascii="Helvetica" w:hAnsi="Helvetica"/>
          <w:sz w:val="18"/>
        </w:rPr>
      </w:pPr>
      <w:r w:rsidRPr="004332B3">
        <w:rPr>
          <w:rFonts w:ascii="Helvetica" w:hAnsi="Helvetica"/>
          <w:sz w:val="18"/>
          <w:lang w:val="id-ID"/>
        </w:rPr>
        <w:t xml:space="preserve">“Dalam hal terjadi perselisihan terkait dengan perjanjian ini, para pihak akan berupaya menyelesaikannya melalui mediasi sesuai dengan ketentuan sebagaimana diatur dalam </w:t>
      </w:r>
      <w:r w:rsidRPr="004332B3">
        <w:rPr>
          <w:rFonts w:ascii="Helvetica" w:hAnsi="Helvetica"/>
          <w:i/>
          <w:sz w:val="18"/>
          <w:lang w:val="id-ID"/>
        </w:rPr>
        <w:t>CEDR Model Mediation Procedure</w:t>
      </w:r>
      <w:r w:rsidRPr="004332B3">
        <w:rPr>
          <w:rFonts w:ascii="Helvetica" w:hAnsi="Helvetica"/>
          <w:sz w:val="18"/>
          <w:lang w:val="id-ID"/>
        </w:rPr>
        <w:t xml:space="preserve">, dan mediasi akan mulai dilaksanakan dalam waktu 28 hari sejak salah satu pihak mengajukan permintaan kepada pihak lainnya untuk melakukan mediasi kecuali disepakati lain oleh para pihak, dengan mediator yang diusulkan oleh CEDR kecuali disepakati lain oleh para pihak.  </w:t>
      </w:r>
      <w:r w:rsidRPr="004332B3">
        <w:rPr>
          <w:rFonts w:ascii="Helvetica" w:hAnsi="Helvetica"/>
          <w:sz w:val="18"/>
        </w:rPr>
        <w:t xml:space="preserve"> </w:t>
      </w:r>
    </w:p>
    <w:p w14:paraId="182DA176" w14:textId="77777777" w:rsidR="00621AC7" w:rsidRPr="004332B3" w:rsidRDefault="00621AC7" w:rsidP="00621AC7">
      <w:pPr>
        <w:spacing w:line="360" w:lineRule="auto"/>
        <w:jc w:val="both"/>
        <w:rPr>
          <w:rFonts w:ascii="Helvetica" w:hAnsi="Helvetica"/>
          <w:sz w:val="18"/>
        </w:rPr>
      </w:pPr>
    </w:p>
    <w:p w14:paraId="2997F4B3" w14:textId="77777777" w:rsidR="00621AC7" w:rsidRPr="004332B3" w:rsidRDefault="00621AC7" w:rsidP="00621AC7">
      <w:pPr>
        <w:spacing w:line="360" w:lineRule="auto"/>
        <w:jc w:val="both"/>
        <w:rPr>
          <w:rFonts w:ascii="Helvetica" w:hAnsi="Helvetica"/>
          <w:sz w:val="18"/>
        </w:rPr>
      </w:pPr>
      <w:r w:rsidRPr="004332B3">
        <w:rPr>
          <w:rFonts w:ascii="Helvetica" w:hAnsi="Helvetica"/>
          <w:sz w:val="18"/>
          <w:lang w:val="id-ID"/>
        </w:rPr>
        <w:t>Mediasi akan dilaksanakan di [nama kota/negara; atau kota/negara salah satu pihak berdomisili; atau kota/negara yang bukan domisili para pihak] dan bahasa yang digunakan dalam mediasi adalah bahasa [Inggris].</w:t>
      </w:r>
      <w:r w:rsidRPr="004332B3">
        <w:rPr>
          <w:rFonts w:ascii="Helvetica" w:hAnsi="Helvetica"/>
          <w:sz w:val="18"/>
        </w:rPr>
        <w:t xml:space="preserve"> </w:t>
      </w:r>
    </w:p>
    <w:p w14:paraId="45933FC8" w14:textId="77777777" w:rsidR="00621AC7" w:rsidRPr="004332B3" w:rsidRDefault="00621AC7" w:rsidP="00621AC7">
      <w:pPr>
        <w:spacing w:line="360" w:lineRule="auto"/>
        <w:jc w:val="both"/>
        <w:rPr>
          <w:rFonts w:ascii="Helvetica" w:hAnsi="Helvetica"/>
          <w:sz w:val="18"/>
        </w:rPr>
      </w:pPr>
    </w:p>
    <w:p w14:paraId="3D02C3CF" w14:textId="77777777" w:rsidR="00621AC7" w:rsidRPr="004332B3" w:rsidRDefault="00621AC7" w:rsidP="00621AC7">
      <w:pPr>
        <w:spacing w:line="360" w:lineRule="auto"/>
        <w:jc w:val="both"/>
        <w:rPr>
          <w:rFonts w:ascii="Helvetica" w:hAnsi="Helvetica"/>
          <w:sz w:val="18"/>
          <w:highlight w:val="cyan"/>
          <w:lang w:val="id-ID"/>
        </w:rPr>
      </w:pPr>
      <w:r w:rsidRPr="004332B3">
        <w:rPr>
          <w:rFonts w:ascii="Helvetica" w:hAnsi="Helvetica"/>
          <w:sz w:val="18"/>
          <w:lang w:val="id-ID"/>
        </w:rPr>
        <w:t>Kesepakatan Untuk Mediasi (</w:t>
      </w:r>
      <w:r w:rsidRPr="004332B3">
        <w:rPr>
          <w:rFonts w:ascii="Helvetica" w:hAnsi="Helvetica"/>
          <w:i/>
          <w:sz w:val="18"/>
          <w:lang w:val="id-ID"/>
        </w:rPr>
        <w:t>CEDR Mediation Agreement</w:t>
      </w:r>
      <w:r w:rsidRPr="004332B3">
        <w:rPr>
          <w:rFonts w:ascii="Helvetica" w:hAnsi="Helvetica"/>
          <w:sz w:val="18"/>
          <w:lang w:val="id-ID"/>
        </w:rPr>
        <w:t xml:space="preserve">) sebagaimana disebut dalam </w:t>
      </w:r>
      <w:r w:rsidRPr="004332B3">
        <w:rPr>
          <w:rFonts w:ascii="Helvetica" w:hAnsi="Helvetica"/>
          <w:i/>
          <w:sz w:val="18"/>
          <w:lang w:val="id-ID"/>
        </w:rPr>
        <w:t>CEDR Model Mediation Procedure</w:t>
      </w:r>
      <w:r w:rsidRPr="004332B3">
        <w:rPr>
          <w:rFonts w:ascii="Helvetica" w:hAnsi="Helvetica"/>
          <w:sz w:val="18"/>
          <w:lang w:val="id-ID"/>
        </w:rPr>
        <w:t xml:space="preserve"> harus  dibentuk dan ditafsirkan dan memiliki kekuatan hukum sesuai aturan hukum yang berlaku [England and Wales].</w:t>
      </w:r>
    </w:p>
    <w:p w14:paraId="2E1EA21C" w14:textId="77777777" w:rsidR="00621AC7" w:rsidRPr="004332B3" w:rsidRDefault="00621AC7" w:rsidP="00621AC7">
      <w:pPr>
        <w:spacing w:line="360" w:lineRule="auto"/>
        <w:jc w:val="both"/>
        <w:rPr>
          <w:rFonts w:ascii="Helvetica" w:hAnsi="Helvetica"/>
          <w:sz w:val="18"/>
        </w:rPr>
      </w:pPr>
    </w:p>
    <w:p w14:paraId="683DD1B4" w14:textId="77777777" w:rsidR="00621AC7" w:rsidRPr="004332B3" w:rsidRDefault="00621AC7" w:rsidP="00621AC7">
      <w:pPr>
        <w:spacing w:line="360" w:lineRule="auto"/>
        <w:jc w:val="both"/>
        <w:rPr>
          <w:rFonts w:ascii="Helvetica" w:hAnsi="Helvetica"/>
          <w:sz w:val="18"/>
          <w:lang w:val="id-ID"/>
        </w:rPr>
      </w:pPr>
      <w:r w:rsidRPr="004332B3">
        <w:rPr>
          <w:rFonts w:ascii="Helvetica" w:hAnsi="Helvetica"/>
          <w:sz w:val="18"/>
          <w:lang w:val="id-ID"/>
        </w:rPr>
        <w:t xml:space="preserve">Dalam hal tidak tercapai kesepakatan dalam waktu [14] hari sejak mediasi dimulai atau  dalam waktu tertentu yang lebih lama yang disepakati secara tertulis oleh para pihak, perselisihan tersebut akan diselesaikan dengan cara arbitrase. </w:t>
      </w:r>
    </w:p>
    <w:p w14:paraId="26A2D5D0" w14:textId="77777777" w:rsidR="00621AC7" w:rsidRPr="004332B3" w:rsidRDefault="00621AC7" w:rsidP="00621AC7">
      <w:pPr>
        <w:spacing w:line="360" w:lineRule="auto"/>
        <w:jc w:val="both"/>
        <w:rPr>
          <w:rFonts w:ascii="Helvetica" w:hAnsi="Helvetica"/>
          <w:sz w:val="18"/>
          <w:lang w:val="id-ID"/>
        </w:rPr>
      </w:pPr>
    </w:p>
    <w:p w14:paraId="4FF143DC" w14:textId="77777777" w:rsidR="00621AC7" w:rsidRPr="004332B3" w:rsidRDefault="00621AC7" w:rsidP="00621AC7">
      <w:pPr>
        <w:spacing w:line="360" w:lineRule="auto"/>
        <w:jc w:val="both"/>
        <w:rPr>
          <w:rFonts w:ascii="Helvetica" w:hAnsi="Helvetica"/>
          <w:sz w:val="18"/>
          <w:lang w:val="id-ID"/>
        </w:rPr>
      </w:pPr>
      <w:r w:rsidRPr="004332B3">
        <w:rPr>
          <w:rFonts w:ascii="Helvetica" w:hAnsi="Helvetica"/>
          <w:sz w:val="18"/>
          <w:lang w:val="id-ID"/>
        </w:rPr>
        <w:t>CEDR akan menjadi lembaga arbitrase dan mengadministrasikan arbitrase tersebut dengan menggunakan aturan UNCITRAL yang berlaku pada saat arbitrase dilaksanakan dan pada setiap pelaksanaan arbitrase sebagaimana dimaksud pasal ini, jumlah arbiter harus [1 atau 3] dan kedudukan hukum dari arbitrase harus [London, England].”</w:t>
      </w:r>
    </w:p>
    <w:p w14:paraId="75C52AB5" w14:textId="77777777" w:rsidR="00621AC7" w:rsidRPr="004332B3" w:rsidRDefault="00621AC7" w:rsidP="00621AC7">
      <w:pPr>
        <w:spacing w:line="360" w:lineRule="auto"/>
        <w:jc w:val="both"/>
        <w:rPr>
          <w:rFonts w:ascii="Helvetica" w:hAnsi="Helvetica"/>
          <w:sz w:val="18"/>
          <w:lang w:val="id-ID"/>
        </w:rPr>
      </w:pPr>
    </w:p>
    <w:p w14:paraId="28044F27" w14:textId="77777777" w:rsidR="00621AC7" w:rsidRPr="004332B3" w:rsidRDefault="00621AC7" w:rsidP="00621AC7">
      <w:pPr>
        <w:spacing w:line="360" w:lineRule="auto"/>
        <w:jc w:val="both"/>
        <w:rPr>
          <w:rFonts w:ascii="Helvetica" w:hAnsi="Helvetica"/>
          <w:color w:val="3A5E9D"/>
          <w:lang w:val="id-ID"/>
        </w:rPr>
      </w:pPr>
      <w:r w:rsidRPr="004332B3">
        <w:rPr>
          <w:rFonts w:ascii="Helvetica" w:hAnsi="Helvetica"/>
          <w:color w:val="3A5E9D"/>
          <w:lang w:val="id-ID"/>
        </w:rPr>
        <w:t>CATATAN</w:t>
      </w:r>
    </w:p>
    <w:p w14:paraId="485D4623" w14:textId="77777777" w:rsidR="00621AC7" w:rsidRPr="004332B3" w:rsidRDefault="00621AC7" w:rsidP="00621AC7">
      <w:pPr>
        <w:spacing w:line="360" w:lineRule="auto"/>
        <w:jc w:val="both"/>
        <w:rPr>
          <w:rFonts w:ascii="Helvetica" w:hAnsi="Helvetica"/>
          <w:sz w:val="18"/>
          <w:lang w:val="id-ID"/>
        </w:rPr>
      </w:pPr>
      <w:r w:rsidRPr="004332B3">
        <w:rPr>
          <w:rFonts w:ascii="Helvetica" w:hAnsi="Helvetica"/>
          <w:sz w:val="18"/>
          <w:lang w:val="id-ID"/>
        </w:rPr>
        <w:t xml:space="preserve">Klausul yang dicontohkan ini cocok untuk kontrak internasional, misalnya kontrak antara para pihak yang berbeda yurisdiksi, namun dengan mempertimbangkan perlunya penyesuaian termasuk namun tidak terbatas pada ketentuan yang berkenaan dengan lokasi/bahasa mediasi, begitu pula dengan aturan hukum yang akan digunakan dan kedudukan hukum, dapat diterapkan dalam perjanjian mediasi sepanjang sesuai dengan pasal ini. Pasal yang merujuk pada arbitrase di bawah naungan CEDR dapat diterapkan, namun para pihak dapat juga menentukan lembaga arbitrase lainnya beserta peraturannya bilamana mediasi tidak mencapai kesepakatan. </w:t>
      </w:r>
    </w:p>
    <w:p w14:paraId="3D5884AE" w14:textId="77777777" w:rsidR="00621AC7" w:rsidRDefault="00621AC7" w:rsidP="00621AC7">
      <w:pPr>
        <w:spacing w:line="360" w:lineRule="auto"/>
        <w:jc w:val="both"/>
        <w:rPr>
          <w:rFonts w:ascii="Helvetica" w:hAnsi="Helvetica"/>
          <w:sz w:val="18"/>
        </w:rPr>
      </w:pPr>
    </w:p>
    <w:p w14:paraId="4C8AC2C8" w14:textId="77777777" w:rsidR="00621AC7" w:rsidRDefault="00621AC7" w:rsidP="00621AC7">
      <w:pPr>
        <w:spacing w:line="360" w:lineRule="auto"/>
        <w:jc w:val="both"/>
        <w:rPr>
          <w:rFonts w:ascii="Helvetica" w:hAnsi="Helvetica"/>
          <w:sz w:val="18"/>
        </w:rPr>
      </w:pPr>
    </w:p>
    <w:p w14:paraId="025F6021" w14:textId="77777777" w:rsidR="00621AC7" w:rsidRDefault="00621AC7" w:rsidP="00621AC7">
      <w:pPr>
        <w:spacing w:line="360" w:lineRule="auto"/>
        <w:jc w:val="both"/>
        <w:rPr>
          <w:rFonts w:ascii="Helvetica" w:hAnsi="Helvetica"/>
          <w:sz w:val="18"/>
        </w:rPr>
      </w:pPr>
    </w:p>
    <w:p w14:paraId="1FF793ED" w14:textId="77777777" w:rsidR="00621AC7" w:rsidRPr="00621AC7" w:rsidRDefault="00621AC7" w:rsidP="00621AC7">
      <w:pPr>
        <w:spacing w:line="360" w:lineRule="auto"/>
        <w:jc w:val="both"/>
        <w:rPr>
          <w:rFonts w:ascii="Helvetica" w:hAnsi="Helvetica"/>
          <w:sz w:val="18"/>
        </w:rPr>
      </w:pPr>
    </w:p>
    <w:p w14:paraId="77F2BEF1" w14:textId="6B57BE6E" w:rsidR="00621AC7" w:rsidRDefault="00621AC7" w:rsidP="00621AC7">
      <w:pPr>
        <w:spacing w:line="360" w:lineRule="auto"/>
        <w:jc w:val="both"/>
        <w:rPr>
          <w:rFonts w:ascii="Helvetica" w:hAnsi="Helvetica"/>
          <w:sz w:val="18"/>
        </w:rPr>
      </w:pPr>
      <w:r w:rsidRPr="004332B3">
        <w:rPr>
          <w:rFonts w:ascii="Helvetica" w:hAnsi="Helvetica"/>
          <w:sz w:val="18"/>
          <w:lang w:val="id-ID"/>
        </w:rPr>
        <w:t>Penggunaan istilah “CEDR” dalam klausula di atas dapat diubah menjadi “CEDR, London” oleh pihak yang merancang agar lebih jelas bagi pihak internasio</w:t>
      </w:r>
      <w:r>
        <w:rPr>
          <w:rFonts w:ascii="Helvetica" w:hAnsi="Helvetica"/>
          <w:sz w:val="18"/>
          <w:lang w:val="id-ID"/>
        </w:rPr>
        <w:t>nal mengetahui keberadaan CEDR.</w:t>
      </w:r>
    </w:p>
    <w:p w14:paraId="2031605F" w14:textId="77777777" w:rsidR="00621AC7" w:rsidRPr="00621AC7" w:rsidRDefault="00621AC7" w:rsidP="00621AC7">
      <w:pPr>
        <w:spacing w:line="360" w:lineRule="auto"/>
        <w:jc w:val="both"/>
        <w:rPr>
          <w:rFonts w:ascii="Helvetica" w:hAnsi="Helvetica"/>
          <w:sz w:val="18"/>
        </w:rPr>
      </w:pPr>
      <w:bookmarkStart w:id="0" w:name="_GoBack"/>
      <w:bookmarkEnd w:id="0"/>
    </w:p>
    <w:p w14:paraId="6E9CF74D" w14:textId="77777777" w:rsidR="00621AC7" w:rsidRPr="004332B3" w:rsidRDefault="00621AC7" w:rsidP="00621AC7">
      <w:pPr>
        <w:spacing w:line="360" w:lineRule="auto"/>
        <w:jc w:val="both"/>
        <w:rPr>
          <w:rFonts w:ascii="Helvetica" w:hAnsi="Helvetica"/>
          <w:sz w:val="18"/>
          <w:lang w:val="id-ID"/>
        </w:rPr>
      </w:pPr>
      <w:r w:rsidRPr="004332B3">
        <w:rPr>
          <w:rFonts w:ascii="Helvetica" w:hAnsi="Helvetica"/>
          <w:sz w:val="18"/>
          <w:lang w:val="id-ID"/>
        </w:rPr>
        <w:t xml:space="preserve">Informasi lebih lanjut, silakan merujuk pada </w:t>
      </w:r>
      <w:r w:rsidRPr="004332B3">
        <w:rPr>
          <w:rFonts w:ascii="Helvetica" w:hAnsi="Helvetica"/>
          <w:i/>
          <w:sz w:val="18"/>
          <w:lang w:val="id-ID"/>
        </w:rPr>
        <w:t>CEDR Model ADR Clauses</w:t>
      </w:r>
      <w:r w:rsidRPr="004332B3">
        <w:rPr>
          <w:rFonts w:ascii="Helvetica" w:hAnsi="Helvetica"/>
          <w:sz w:val="18"/>
          <w:lang w:val="id-ID"/>
        </w:rPr>
        <w:t>:</w:t>
      </w:r>
    </w:p>
    <w:p w14:paraId="16C84268" w14:textId="77777777" w:rsidR="00621AC7" w:rsidRPr="004332B3" w:rsidRDefault="00621AC7" w:rsidP="00621AC7">
      <w:pPr>
        <w:spacing w:line="360" w:lineRule="auto"/>
        <w:jc w:val="both"/>
        <w:rPr>
          <w:rFonts w:ascii="Helvetica" w:hAnsi="Helvetica"/>
          <w:color w:val="0000FF"/>
          <w:sz w:val="18"/>
          <w:u w:val="single"/>
          <w:lang w:val="id-ID"/>
        </w:rPr>
      </w:pPr>
      <w:hyperlink r:id="rId8" w:history="1">
        <w:r w:rsidRPr="004332B3">
          <w:rPr>
            <w:rFonts w:ascii="Helvetica" w:hAnsi="Helvetica"/>
            <w:color w:val="0000FF"/>
            <w:sz w:val="18"/>
            <w:u w:val="single"/>
            <w:lang w:val="id-ID"/>
          </w:rPr>
          <w:t>http://www.cedr.com/about_us/modeldocs/</w:t>
        </w:r>
      </w:hyperlink>
    </w:p>
    <w:p w14:paraId="63CD3E85" w14:textId="77777777" w:rsidR="00621AC7" w:rsidRPr="00BF2C32" w:rsidRDefault="00621AC7" w:rsidP="00621AC7">
      <w:pPr>
        <w:rPr>
          <w:rFonts w:ascii="Montserrat" w:hAnsi="Montserrat"/>
          <w:sz w:val="18"/>
          <w:szCs w:val="18"/>
        </w:rPr>
      </w:pPr>
    </w:p>
    <w:sectPr w:rsidR="00621AC7" w:rsidRPr="00BF2C32" w:rsidSect="00CB6D22">
      <w:headerReference w:type="even" r:id="rId9"/>
      <w:headerReference w:type="default" r:id="rId10"/>
      <w:footerReference w:type="default" r:id="rId11"/>
      <w:headerReference w:type="first" r:id="rId12"/>
      <w:pgSz w:w="11906" w:h="16838" w:code="9"/>
      <w:pgMar w:top="567" w:right="851" w:bottom="851" w:left="851" w:header="5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611F6" w14:textId="77777777" w:rsidR="008D154F" w:rsidRDefault="008D154F" w:rsidP="001A6AB8">
      <w:pPr>
        <w:spacing w:after="0" w:line="240" w:lineRule="auto"/>
      </w:pPr>
      <w:r>
        <w:separator/>
      </w:r>
    </w:p>
  </w:endnote>
  <w:endnote w:type="continuationSeparator" w:id="0">
    <w:p w14:paraId="07D4018D" w14:textId="77777777" w:rsidR="008D154F" w:rsidRDefault="008D154F"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6BF14AC7" w14:textId="633ACC2A"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70 Fleet Street</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2E6672D2" w14:textId="4FC80D76" w:rsidR="00E544F6" w:rsidRPr="004F7CDE" w:rsidRDefault="00E544F6" w:rsidP="00877D33">
          <w:pPr>
            <w:pStyle w:val="Footer"/>
            <w:spacing w:before="60"/>
            <w:rPr>
              <w:color w:val="FFFFFF" w:themeColor="background1"/>
              <w:sz w:val="16"/>
              <w:szCs w:val="16"/>
            </w:rPr>
          </w:pPr>
          <w:r w:rsidRPr="004F7CDE">
            <w:rPr>
              <w:rFonts w:ascii="Montserrat" w:hAnsi="Montserrat" w:cs="Montserrat"/>
              <w:color w:val="FFFFFF" w:themeColor="background1"/>
              <w:sz w:val="16"/>
              <w:szCs w:val="16"/>
            </w:rPr>
            <w:t>EC4Y 1EU</w:t>
          </w:r>
        </w:p>
      </w:tc>
      <w:tc>
        <w:tcPr>
          <w:tcW w:w="3033" w:type="dxa"/>
          <w:tcBorders>
            <w:left w:val="single" w:sz="4" w:space="0" w:color="BFBFBF" w:themeColor="background1" w:themeShade="BF"/>
            <w:right w:val="single" w:sz="4" w:space="0" w:color="BFBFBF" w:themeColor="background1" w:themeShade="BF"/>
          </w:tcBorders>
        </w:tcPr>
        <w:p w14:paraId="41B4CABE" w14:textId="609AFD7D" w:rsidR="00E544F6" w:rsidRPr="004F7CDE" w:rsidRDefault="00877D33" w:rsidP="004F7CDE">
          <w:pPr>
            <w:pBdr>
              <w:left w:val="single" w:sz="4" w:space="4" w:color="auto"/>
            </w:pBdr>
            <w:spacing w:before="100" w:beforeAutospacing="1"/>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T: +44 (0)20 7536 6000</w:t>
          </w:r>
        </w:p>
        <w:p w14:paraId="4FD2C4BF" w14:textId="337428DB"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W: www.cedr.com</w:t>
          </w:r>
        </w:p>
        <w:p w14:paraId="63D2B88A" w14:textId="3FB9F9C8"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 xml:space="preserve">E: </w:t>
          </w:r>
          <w:hyperlink r:id="rId1" w:history="1">
            <w:r w:rsidR="00E544F6" w:rsidRPr="004F7CDE">
              <w:rPr>
                <w:rStyle w:val="Hyperlink"/>
                <w:rFonts w:ascii="Montserrat" w:hAnsi="Montserrat"/>
                <w:color w:val="FFFFFF" w:themeColor="background1"/>
                <w:sz w:val="16"/>
                <w:szCs w:val="16"/>
                <w:u w:val="none"/>
              </w:rPr>
              <w:t>info@cedr.com</w:t>
            </w:r>
          </w:hyperlink>
        </w:p>
        <w:p w14:paraId="73D20DFB" w14:textId="629BFE4E" w:rsidR="00E544F6" w:rsidRPr="004F7CDE" w:rsidRDefault="00E544F6" w:rsidP="00877D33">
          <w:pPr>
            <w:pBdr>
              <w:left w:val="single" w:sz="4" w:space="4" w:color="auto"/>
            </w:pBdr>
            <w:spacing w:before="60"/>
            <w:rPr>
              <w:rFonts w:ascii="Montserrat" w:hAnsi="Montserrat"/>
              <w:color w:val="FFFFFF" w:themeColor="background1"/>
              <w:sz w:val="16"/>
              <w:szCs w:val="16"/>
            </w:rPr>
          </w:pPr>
        </w:p>
        <w:p w14:paraId="2B4FBDB4" w14:textId="3D7248A5" w:rsidR="00E544F6" w:rsidRPr="004F7CDE" w:rsidRDefault="00E544F6" w:rsidP="00877D33">
          <w:pPr>
            <w:pStyle w:val="Footer"/>
            <w:spacing w:before="60"/>
            <w:rPr>
              <w:rFonts w:ascii="Montserrat" w:hAnsi="Montserrat"/>
              <w:color w:val="FFFFFF" w:themeColor="background1"/>
              <w:sz w:val="16"/>
              <w:szCs w:val="16"/>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 xml:space="preserve">   </w:t>
          </w:r>
          <w:r w:rsidR="00774C5F"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Twitter @</w:t>
          </w:r>
          <w:proofErr w:type="spellStart"/>
          <w:r w:rsidR="00E544F6" w:rsidRPr="004F7CDE">
            <w:rPr>
              <w:rFonts w:ascii="Montserrat" w:hAnsi="Montserrat" w:cs="Montserrat"/>
              <w:color w:val="FFFFFF" w:themeColor="background1"/>
              <w:sz w:val="16"/>
              <w:szCs w:val="16"/>
            </w:rPr>
            <w:t>cedrsays</w:t>
          </w:r>
          <w:proofErr w:type="spellEnd"/>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w:t>
          </w:r>
          <w:proofErr w:type="spellStart"/>
          <w:r w:rsidR="00E544F6" w:rsidRPr="004F7CDE">
            <w:rPr>
              <w:rFonts w:ascii="Montserrat" w:hAnsi="Montserrat" w:cs="Montserrat"/>
              <w:color w:val="FFFFFF" w:themeColor="background1"/>
              <w:sz w:val="16"/>
              <w:szCs w:val="16"/>
            </w:rPr>
            <w:t>cedr</w:t>
          </w:r>
          <w:proofErr w:type="spellEnd"/>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Charity no. 1060369      © CEDR 2019</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0DD8E6D"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G+Jf4CYCAAAjBAAADgAAAAAAAAAAAAAAAAAuAgAAZHJzL2Uy&#10;b0RvYy54bWxQSwECLQAUAAYACAAAACEAHKPIzOEAAAANAQAADwAAAAAAAAAAAAAAAACABAAAZHJz&#10;L2Rvd25yZXYueG1sUEsFBgAAAAAEAAQA8wAAAI4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108AA" w14:textId="77777777" w:rsidR="008D154F" w:rsidRDefault="008D154F" w:rsidP="001A6AB8">
      <w:pPr>
        <w:spacing w:after="0" w:line="240" w:lineRule="auto"/>
      </w:pPr>
      <w:r>
        <w:separator/>
      </w:r>
    </w:p>
  </w:footnote>
  <w:footnote w:type="continuationSeparator" w:id="0">
    <w:p w14:paraId="35E8FE7E" w14:textId="77777777" w:rsidR="008D154F" w:rsidRDefault="008D154F" w:rsidP="001A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787B" w14:textId="08C9DD05" w:rsidR="001802BC" w:rsidRDefault="00621AC7">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3"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7669" w14:textId="41411493" w:rsidR="001A6AB8" w:rsidRDefault="00621AC7">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4"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00D55" w14:textId="456CF957" w:rsidR="001802BC" w:rsidRDefault="00621AC7">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52"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B8"/>
    <w:rsid w:val="000F129B"/>
    <w:rsid w:val="00142FFA"/>
    <w:rsid w:val="001802BC"/>
    <w:rsid w:val="001A6AB8"/>
    <w:rsid w:val="002012E7"/>
    <w:rsid w:val="0024308E"/>
    <w:rsid w:val="0042710E"/>
    <w:rsid w:val="004F7CDE"/>
    <w:rsid w:val="005E03C1"/>
    <w:rsid w:val="00621AC7"/>
    <w:rsid w:val="00774C5F"/>
    <w:rsid w:val="00877D33"/>
    <w:rsid w:val="008D154F"/>
    <w:rsid w:val="00BF2C32"/>
    <w:rsid w:val="00CB6D22"/>
    <w:rsid w:val="00CE3373"/>
    <w:rsid w:val="00D4539D"/>
    <w:rsid w:val="00D62D15"/>
    <w:rsid w:val="00E544F6"/>
    <w:rsid w:val="00EB0F6A"/>
    <w:rsid w:val="00EC5326"/>
    <w:rsid w:val="00EE7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C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5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5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dr.com/about_us/modeldoc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ced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C3A2A-A2D8-46BC-840B-69BAE1A3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Oliver de St Croix</cp:lastModifiedBy>
  <cp:revision>2</cp:revision>
  <dcterms:created xsi:type="dcterms:W3CDTF">2019-09-10T12:39:00Z</dcterms:created>
  <dcterms:modified xsi:type="dcterms:W3CDTF">2019-09-10T12:39:00Z</dcterms:modified>
</cp:coreProperties>
</file>