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3016" w14:textId="77777777" w:rsidR="008011AE" w:rsidRPr="002C5E97" w:rsidRDefault="008011AE" w:rsidP="002C5E97">
      <w:pPr>
        <w:rPr>
          <w:rFonts w:ascii="Montserrat" w:hAnsi="Montserrat"/>
        </w:rPr>
      </w:pPr>
      <w:bookmarkStart w:id="0" w:name="_GoBack"/>
      <w:bookmarkEnd w:id="0"/>
    </w:p>
    <w:p w14:paraId="06F587FB" w14:textId="77777777" w:rsidR="002C5E97" w:rsidRPr="002C5E97" w:rsidRDefault="002C5E97" w:rsidP="002C5E97">
      <w:pPr>
        <w:autoSpaceDE w:val="0"/>
        <w:autoSpaceDN w:val="0"/>
        <w:adjustRightInd w:val="0"/>
        <w:rPr>
          <w:rFonts w:ascii="Montserrat" w:hAnsi="Montserrat" w:cs="Humanist777BT-LightB"/>
          <w:color w:val="3A5E9D"/>
          <w:sz w:val="36"/>
          <w:szCs w:val="36"/>
          <w:lang w:eastAsia="en-GB"/>
        </w:rPr>
      </w:pPr>
    </w:p>
    <w:p w14:paraId="146E56A4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</w:pPr>
      <w:r w:rsidRPr="002C5E97">
        <w:rPr>
          <w:rFonts w:ascii="Montserrat" w:hAnsi="Montserrat" w:cs="Humanist777BT-LightB"/>
          <w:b/>
          <w:color w:val="3A5E9D"/>
          <w:sz w:val="26"/>
          <w:szCs w:val="26"/>
          <w:lang w:eastAsia="en-GB"/>
        </w:rPr>
        <w:t>Japanese</w:t>
      </w:r>
    </w:p>
    <w:p w14:paraId="67FE9CBB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  <w:r w:rsidRPr="002C5E97">
        <w:rPr>
          <w:rFonts w:ascii="Montserrat" w:eastAsia="MS Gothic" w:hAnsi="Montserrat" w:cs="MS Gothic"/>
          <w:color w:val="3A5E9D"/>
          <w:szCs w:val="36"/>
          <w:lang w:eastAsia="en-GB"/>
        </w:rPr>
        <w:t>国際的調停</w:t>
      </w:r>
      <w:r w:rsidRPr="002C5E97">
        <w:rPr>
          <w:rFonts w:ascii="Montserrat" w:hAnsi="Montserrat" w:cs="Humanist777BT-LightB"/>
          <w:color w:val="3A5E9D"/>
          <w:szCs w:val="36"/>
          <w:lang w:eastAsia="en-GB"/>
        </w:rPr>
        <w:t xml:space="preserve"> </w:t>
      </w:r>
      <w:r w:rsidRPr="002C5E97">
        <w:rPr>
          <w:rFonts w:ascii="Montserrat" w:eastAsia="MS Gothic" w:hAnsi="Montserrat" w:cs="MS Gothic"/>
          <w:color w:val="3A5E9D"/>
          <w:szCs w:val="36"/>
          <w:lang w:eastAsia="en-GB"/>
        </w:rPr>
        <w:t>条項</w:t>
      </w:r>
    </w:p>
    <w:p w14:paraId="2DCF92E4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</w:p>
    <w:p w14:paraId="0F431052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jc w:val="both"/>
        <w:rPr>
          <w:rFonts w:ascii="Montserrat" w:eastAsia="MS Gothic" w:hAnsi="Montserrat" w:cs="MS Gothic"/>
          <w:b/>
          <w:color w:val="3A5E9D"/>
          <w:lang w:eastAsia="en-GB"/>
        </w:rPr>
      </w:pPr>
      <w:r w:rsidRPr="002C5E97">
        <w:rPr>
          <w:rFonts w:ascii="Montserrat" w:eastAsia="MS Gothic" w:hAnsi="Montserrat" w:cs="MS Gothic"/>
          <w:b/>
          <w:color w:val="3A5E9D"/>
          <w:lang w:eastAsia="en-GB"/>
        </w:rPr>
        <w:t>契約条文　概要</w:t>
      </w:r>
    </w:p>
    <w:p w14:paraId="1AD5C4F3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“</w:t>
      </w:r>
      <w:r w:rsidRPr="002C5E97">
        <w:rPr>
          <w:rFonts w:ascii="Montserrat" w:hAnsi="Montserrat"/>
          <w:lang w:val="en-US" w:eastAsia="ja-JP"/>
        </w:rPr>
        <w:t>本</w:t>
      </w:r>
      <w:r w:rsidRPr="002C5E97">
        <w:rPr>
          <w:rFonts w:ascii="Montserrat" w:hAnsi="Montserrat"/>
          <w:lang w:eastAsia="ja-JP"/>
        </w:rPr>
        <w:t>契約に</w:t>
      </w:r>
      <w:r w:rsidRPr="002C5E97">
        <w:rPr>
          <w:rFonts w:ascii="Montserrat" w:hAnsi="Montserrat"/>
          <w:lang w:val="en-US" w:eastAsia="ja-JP"/>
        </w:rPr>
        <w:t>関して</w:t>
      </w:r>
      <w:r w:rsidRPr="002C5E97">
        <w:rPr>
          <w:rFonts w:ascii="Montserrat" w:hAnsi="Montserrat"/>
          <w:lang w:eastAsia="ja-JP"/>
        </w:rPr>
        <w:t>紛争が生じた場合、本契約当事者は</w:t>
      </w:r>
      <w:r w:rsidRPr="002C5E97">
        <w:rPr>
          <w:rFonts w:ascii="Montserrat" w:hAnsi="Montserrat"/>
          <w:lang w:eastAsia="ja-JP"/>
        </w:rPr>
        <w:t>CEDR</w:t>
      </w:r>
      <w:r w:rsidRPr="002C5E97">
        <w:rPr>
          <w:rFonts w:ascii="Montserrat" w:hAnsi="Montserrat"/>
          <w:lang w:eastAsia="ja-JP"/>
        </w:rPr>
        <w:t>のモデル</w:t>
      </w:r>
      <w:r w:rsidRPr="002C5E97">
        <w:rPr>
          <w:rFonts w:ascii="Montserrat" w:hAnsi="Montserrat" w:cs="MS Mincho"/>
          <w:lang w:eastAsia="ja-JP"/>
        </w:rPr>
        <w:t>調停プロセスを使用し解決を</w:t>
      </w:r>
      <w:r w:rsidRPr="002C5E97">
        <w:rPr>
          <w:rFonts w:ascii="Montserrat" w:hAnsi="Montserrat"/>
          <w:lang w:eastAsia="ja-JP"/>
        </w:rPr>
        <w:t>目指します。</w:t>
      </w:r>
    </w:p>
    <w:p w14:paraId="15F169BC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別途合意しない限</w:t>
      </w:r>
      <w:r w:rsidRPr="002C5E97">
        <w:rPr>
          <w:rFonts w:ascii="Montserrat" w:hAnsi="Montserrat" w:cs="MS Mincho"/>
          <w:lang w:eastAsia="ja-JP"/>
        </w:rPr>
        <w:t>り、調停は一方の</w:t>
      </w:r>
      <w:r w:rsidRPr="002C5E97">
        <w:rPr>
          <w:rFonts w:ascii="Montserrat" w:hAnsi="Montserrat"/>
          <w:lang w:eastAsia="ja-JP"/>
        </w:rPr>
        <w:t>契約当事者の調停申請後２８日以内に行われます。</w:t>
      </w:r>
    </w:p>
    <w:p w14:paraId="69720166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別途合意しない限</w:t>
      </w:r>
      <w:r w:rsidRPr="002C5E97">
        <w:rPr>
          <w:rFonts w:ascii="Montserrat" w:hAnsi="Montserrat" w:cs="MS Mincho"/>
          <w:lang w:eastAsia="ja-JP"/>
        </w:rPr>
        <w:t>り</w:t>
      </w:r>
      <w:r w:rsidRPr="002C5E97">
        <w:rPr>
          <w:rFonts w:ascii="Montserrat" w:hAnsi="Montserrat"/>
          <w:lang w:eastAsia="ja-JP"/>
        </w:rPr>
        <w:t>、調停者は</w:t>
      </w:r>
      <w:r w:rsidRPr="002C5E97">
        <w:rPr>
          <w:rFonts w:ascii="Montserrat" w:hAnsi="Montserrat"/>
          <w:lang w:eastAsia="ja-JP"/>
        </w:rPr>
        <w:t>CEDR</w:t>
      </w:r>
      <w:r w:rsidRPr="002C5E97">
        <w:rPr>
          <w:rFonts w:ascii="Montserrat" w:hAnsi="Montserrat"/>
          <w:lang w:eastAsia="ja-JP"/>
        </w:rPr>
        <w:t>が指名します。</w:t>
      </w:r>
    </w:p>
    <w:p w14:paraId="55AC976C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 w:cs="MS Mincho"/>
          <w:lang w:eastAsia="ja-JP"/>
        </w:rPr>
      </w:pPr>
    </w:p>
    <w:p w14:paraId="5939DD41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 w:cs="MS Mincho"/>
          <w:lang w:eastAsia="ja-JP"/>
        </w:rPr>
        <w:t>調停は</w:t>
      </w:r>
      <w:r w:rsidRPr="002C5E97">
        <w:rPr>
          <w:rFonts w:ascii="Montserrat" w:hAnsi="Montserrat"/>
          <w:lang w:eastAsia="ja-JP"/>
        </w:rPr>
        <w:t>[</w:t>
      </w:r>
      <w:r w:rsidRPr="002C5E97">
        <w:rPr>
          <w:rFonts w:ascii="Montserrat" w:hAnsi="Montserrat"/>
          <w:lang w:eastAsia="ja-JP"/>
        </w:rPr>
        <w:t>指定の都市</w:t>
      </w:r>
      <w:r w:rsidRPr="002C5E97">
        <w:rPr>
          <w:rFonts w:ascii="Montserrat" w:hAnsi="Montserrat"/>
          <w:lang w:eastAsia="ja-JP"/>
        </w:rPr>
        <w:t>/</w:t>
      </w:r>
      <w:r w:rsidRPr="002C5E97">
        <w:rPr>
          <w:rFonts w:ascii="Montserrat" w:hAnsi="Montserrat"/>
          <w:lang w:eastAsia="ja-JP"/>
        </w:rPr>
        <w:t>国</w:t>
      </w:r>
      <w:r w:rsidRPr="002C5E97">
        <w:rPr>
          <w:rFonts w:ascii="Montserrat" w:hAnsi="Montserrat"/>
          <w:lang w:eastAsia="ja-JP"/>
        </w:rPr>
        <w:t xml:space="preserve">; </w:t>
      </w:r>
      <w:r w:rsidRPr="002C5E97">
        <w:rPr>
          <w:rFonts w:ascii="Montserrat" w:hAnsi="Montserrat"/>
          <w:lang w:eastAsia="ja-JP"/>
        </w:rPr>
        <w:t>一方の契約当事者の都市</w:t>
      </w:r>
      <w:r w:rsidRPr="002C5E97">
        <w:rPr>
          <w:rFonts w:ascii="Montserrat" w:hAnsi="Montserrat"/>
          <w:lang w:eastAsia="ja-JP"/>
        </w:rPr>
        <w:t>/</w:t>
      </w:r>
      <w:r w:rsidRPr="002C5E97">
        <w:rPr>
          <w:rFonts w:ascii="Montserrat" w:hAnsi="Montserrat"/>
          <w:lang w:eastAsia="ja-JP"/>
        </w:rPr>
        <w:t>国；その他の都市</w:t>
      </w:r>
      <w:r w:rsidRPr="002C5E97">
        <w:rPr>
          <w:rFonts w:ascii="Montserrat" w:hAnsi="Montserrat"/>
          <w:lang w:eastAsia="ja-JP"/>
        </w:rPr>
        <w:t>/</w:t>
      </w:r>
      <w:r w:rsidRPr="002C5E97">
        <w:rPr>
          <w:rFonts w:ascii="Montserrat" w:hAnsi="Montserrat"/>
          <w:lang w:eastAsia="ja-JP"/>
        </w:rPr>
        <w:t>国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で行われます。</w:t>
      </w:r>
      <w:r w:rsidRPr="002C5E97">
        <w:rPr>
          <w:rFonts w:ascii="Montserrat" w:hAnsi="Montserrat" w:cs="MS Mincho"/>
          <w:lang w:eastAsia="ja-JP"/>
        </w:rPr>
        <w:t>調停の</w:t>
      </w:r>
      <w:r w:rsidRPr="002C5E97">
        <w:rPr>
          <w:rFonts w:ascii="Montserrat" w:hAnsi="Montserrat"/>
          <w:lang w:eastAsia="ja-JP"/>
        </w:rPr>
        <w:t>言語は</w:t>
      </w:r>
      <w:r w:rsidRPr="002C5E97">
        <w:rPr>
          <w:rFonts w:ascii="Montserrat" w:hAnsi="Montserrat"/>
          <w:lang w:eastAsia="ja-JP"/>
        </w:rPr>
        <w:t xml:space="preserve"> [  </w:t>
      </w:r>
      <w:r w:rsidRPr="002C5E97">
        <w:rPr>
          <w:rFonts w:ascii="Montserrat" w:hAnsi="Montserrat"/>
          <w:lang w:eastAsia="ja-JP"/>
        </w:rPr>
        <w:t>英語</w:t>
      </w:r>
      <w:r w:rsidRPr="002C5E97">
        <w:rPr>
          <w:rFonts w:ascii="Montserrat" w:hAnsi="Montserrat"/>
          <w:lang w:eastAsia="ja-JP"/>
        </w:rPr>
        <w:t xml:space="preserve">  ]</w:t>
      </w:r>
      <w:r w:rsidRPr="002C5E97">
        <w:rPr>
          <w:rFonts w:ascii="Montserrat" w:hAnsi="Montserrat"/>
          <w:lang w:eastAsia="ja-JP"/>
        </w:rPr>
        <w:t>です。</w:t>
      </w:r>
      <w:r w:rsidRPr="002C5E97">
        <w:rPr>
          <w:rFonts w:ascii="Montserrat" w:hAnsi="Montserrat"/>
          <w:lang w:eastAsia="ja-JP"/>
        </w:rPr>
        <w:t xml:space="preserve"> </w:t>
      </w:r>
    </w:p>
    <w:p w14:paraId="1BE9EA58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 w:cs="MS Mincho"/>
          <w:lang w:eastAsia="ja-JP"/>
        </w:rPr>
        <w:t>この調停プロセスは</w:t>
      </w:r>
      <w:r w:rsidRPr="002C5E97">
        <w:rPr>
          <w:rFonts w:ascii="Montserrat" w:hAnsi="Montserrat"/>
          <w:lang w:eastAsia="ja-JP"/>
        </w:rPr>
        <w:t>[</w:t>
      </w:r>
      <w:r w:rsidRPr="002C5E97">
        <w:rPr>
          <w:rFonts w:ascii="Montserrat" w:hAnsi="Montserrat"/>
          <w:lang w:eastAsia="ja-JP"/>
        </w:rPr>
        <w:t xml:space="preserve">　英国　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の法律に従い行われます。</w:t>
      </w:r>
    </w:p>
    <w:p w14:paraId="77D002BD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</w:p>
    <w:p w14:paraId="02060586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もし</w:t>
      </w:r>
      <w:r w:rsidRPr="002C5E97">
        <w:rPr>
          <w:rFonts w:ascii="Montserrat" w:hAnsi="Montserrat" w:cs="MS Mincho"/>
          <w:lang w:eastAsia="ja-JP"/>
        </w:rPr>
        <w:t>調停で紛争</w:t>
      </w:r>
      <w:r w:rsidRPr="002C5E97">
        <w:rPr>
          <w:rFonts w:ascii="Montserrat" w:hAnsi="Montserrat"/>
          <w:lang w:eastAsia="ja-JP"/>
        </w:rPr>
        <w:t>が</w:t>
      </w:r>
      <w:r w:rsidRPr="002C5E97">
        <w:rPr>
          <w:rFonts w:ascii="Montserrat" w:hAnsi="Montserrat"/>
          <w:lang w:eastAsia="ja-JP"/>
        </w:rPr>
        <w:t>[</w:t>
      </w:r>
      <w:r w:rsidRPr="002C5E97">
        <w:rPr>
          <w:rFonts w:ascii="Montserrat" w:hAnsi="Montserrat"/>
          <w:lang w:eastAsia="ja-JP"/>
        </w:rPr>
        <w:t>１４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日以内</w:t>
      </w:r>
      <w:r w:rsidRPr="002C5E97">
        <w:rPr>
          <w:rFonts w:ascii="Montserrat" w:hAnsi="Montserrat"/>
          <w:lang w:eastAsia="ja-JP"/>
        </w:rPr>
        <w:t>[</w:t>
      </w:r>
      <w:r w:rsidRPr="002C5E97">
        <w:rPr>
          <w:rFonts w:ascii="Montserrat" w:hAnsi="Montserrat"/>
          <w:lang w:eastAsia="ja-JP"/>
        </w:rPr>
        <w:t>あるいはそ書面にて別途同意した期間内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に解決されない場合、紛争は最終的に仲裁で解決されます。</w:t>
      </w:r>
    </w:p>
    <w:p w14:paraId="3C0E98B5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仲裁は</w:t>
      </w:r>
      <w:r w:rsidRPr="002C5E97">
        <w:rPr>
          <w:rFonts w:ascii="Montserrat" w:hAnsi="Montserrat"/>
          <w:lang w:eastAsia="ja-JP"/>
        </w:rPr>
        <w:t>CEDR</w:t>
      </w:r>
      <w:r w:rsidRPr="002C5E97">
        <w:rPr>
          <w:rFonts w:ascii="Montserrat" w:hAnsi="Montserrat"/>
          <w:lang w:eastAsia="ja-JP"/>
        </w:rPr>
        <w:t>の管轄のもと、仲裁開始時に効力を有す</w:t>
      </w:r>
      <w:r w:rsidRPr="002C5E97">
        <w:rPr>
          <w:rFonts w:ascii="Montserrat" w:hAnsi="Montserrat" w:cs="MS Mincho"/>
          <w:lang w:eastAsia="ja-JP"/>
        </w:rPr>
        <w:t>る</w:t>
      </w:r>
      <w:r w:rsidRPr="002C5E97">
        <w:rPr>
          <w:rFonts w:ascii="Montserrat" w:hAnsi="Montserrat"/>
          <w:lang w:eastAsia="ja-JP"/>
        </w:rPr>
        <w:t>UNCITRAL</w:t>
      </w:r>
      <w:r w:rsidRPr="002C5E97">
        <w:rPr>
          <w:rFonts w:ascii="Montserrat" w:hAnsi="Montserrat"/>
          <w:lang w:eastAsia="ja-JP"/>
        </w:rPr>
        <w:t>条例を適用して行われます</w:t>
      </w:r>
    </w:p>
    <w:p w14:paraId="170525FC" w14:textId="77777777" w:rsidR="002C5E97" w:rsidRPr="002C5E97" w:rsidRDefault="002C5E97" w:rsidP="002C5E97">
      <w:pPr>
        <w:pStyle w:val="n-Para"/>
        <w:spacing w:before="0" w:line="280" w:lineRule="atLeast"/>
        <w:ind w:right="1076"/>
        <w:jc w:val="both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仲裁人の人数は</w:t>
      </w:r>
      <w:r w:rsidRPr="002C5E97">
        <w:rPr>
          <w:rFonts w:ascii="Montserrat" w:hAnsi="Montserrat"/>
          <w:lang w:eastAsia="ja-JP"/>
        </w:rPr>
        <w:t>[</w:t>
      </w:r>
      <w:r w:rsidRPr="002C5E97">
        <w:rPr>
          <w:rFonts w:ascii="Montserrat" w:hAnsi="Montserrat"/>
          <w:lang w:eastAsia="ja-JP"/>
        </w:rPr>
        <w:t>１－３人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です。仲裁の所在地は</w:t>
      </w:r>
      <w:r w:rsidRPr="002C5E97">
        <w:rPr>
          <w:rFonts w:ascii="Montserrat" w:hAnsi="Montserrat"/>
          <w:lang w:eastAsia="ja-JP"/>
        </w:rPr>
        <w:t xml:space="preserve"> [</w:t>
      </w:r>
      <w:r w:rsidRPr="002C5E97">
        <w:rPr>
          <w:rFonts w:ascii="Montserrat" w:hAnsi="Montserrat"/>
          <w:lang w:eastAsia="ja-JP"/>
        </w:rPr>
        <w:t>ロンドン</w:t>
      </w:r>
      <w:r w:rsidRPr="002C5E97">
        <w:rPr>
          <w:rFonts w:ascii="Montserrat" w:hAnsi="Montserrat"/>
          <w:lang w:eastAsia="ja-JP"/>
        </w:rPr>
        <w:t xml:space="preserve">, </w:t>
      </w:r>
      <w:r w:rsidRPr="002C5E97">
        <w:rPr>
          <w:rFonts w:ascii="Montserrat" w:hAnsi="Montserrat"/>
          <w:lang w:eastAsia="ja-JP"/>
        </w:rPr>
        <w:t>イギリス</w:t>
      </w:r>
      <w:r w:rsidRPr="002C5E97">
        <w:rPr>
          <w:rFonts w:ascii="Montserrat" w:hAnsi="Montserrat"/>
          <w:lang w:eastAsia="ja-JP"/>
        </w:rPr>
        <w:t>]</w:t>
      </w:r>
      <w:r w:rsidRPr="002C5E97">
        <w:rPr>
          <w:rFonts w:ascii="Montserrat" w:hAnsi="Montserrat"/>
          <w:lang w:eastAsia="ja-JP"/>
        </w:rPr>
        <w:t>です</w:t>
      </w:r>
      <w:r w:rsidRPr="002C5E97">
        <w:rPr>
          <w:rFonts w:ascii="Montserrat" w:hAnsi="Montserrat"/>
          <w:lang w:eastAsia="ja-JP"/>
        </w:rPr>
        <w:t>.”</w:t>
      </w:r>
    </w:p>
    <w:p w14:paraId="3B8EF0F1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ja-JP"/>
        </w:rPr>
      </w:pPr>
    </w:p>
    <w:p w14:paraId="75BE1075" w14:textId="77777777" w:rsidR="002C5E97" w:rsidRPr="002C5E97" w:rsidRDefault="002C5E97" w:rsidP="002C5E97">
      <w:pPr>
        <w:spacing w:line="360" w:lineRule="auto"/>
        <w:rPr>
          <w:rFonts w:ascii="Montserrat" w:eastAsia="MS Gothic" w:hAnsi="Montserrat" w:cs="MS Gothic"/>
          <w:b/>
          <w:color w:val="3A5E9D"/>
          <w:szCs w:val="36"/>
          <w:lang w:eastAsia="en-GB"/>
        </w:rPr>
      </w:pPr>
      <w:r w:rsidRPr="002C5E97">
        <w:rPr>
          <w:rFonts w:ascii="Montserrat" w:eastAsia="MS Gothic" w:hAnsi="Montserrat" w:cs="MS Gothic"/>
          <w:b/>
          <w:color w:val="3A5E9D"/>
          <w:szCs w:val="36"/>
          <w:lang w:eastAsia="en-GB"/>
        </w:rPr>
        <w:t>注釈</w:t>
      </w:r>
    </w:p>
    <w:p w14:paraId="178A6094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このモデル条項は</w:t>
      </w:r>
      <w:r w:rsidRPr="002C5E97">
        <w:rPr>
          <w:rFonts w:ascii="Montserrat" w:hAnsi="Montserrat" w:cs="MS Mincho"/>
          <w:lang w:eastAsia="ja-JP"/>
        </w:rPr>
        <w:t>国際契約に適したものですが、調停の</w:t>
      </w:r>
      <w:r w:rsidRPr="002C5E97">
        <w:rPr>
          <w:rFonts w:ascii="Montserrat" w:hAnsi="Montserrat"/>
          <w:lang w:eastAsia="ja-JP"/>
        </w:rPr>
        <w:t>所在地</w:t>
      </w:r>
      <w:r w:rsidRPr="002C5E97">
        <w:rPr>
          <w:rFonts w:ascii="Montserrat" w:hAnsi="Montserrat"/>
          <w:lang w:eastAsia="ja-JP"/>
        </w:rPr>
        <w:t>/</w:t>
      </w:r>
      <w:r w:rsidRPr="002C5E97">
        <w:rPr>
          <w:rFonts w:ascii="Montserrat" w:hAnsi="Montserrat"/>
          <w:lang w:eastAsia="ja-JP"/>
        </w:rPr>
        <w:t>言語</w:t>
      </w:r>
      <w:r w:rsidRPr="002C5E97">
        <w:rPr>
          <w:rFonts w:ascii="Montserrat" w:hAnsi="Montserrat"/>
          <w:lang w:eastAsia="ja-JP"/>
        </w:rPr>
        <w:t>/</w:t>
      </w:r>
      <w:r w:rsidRPr="002C5E97">
        <w:rPr>
          <w:rFonts w:ascii="Montserrat" w:hAnsi="Montserrat"/>
          <w:lang w:eastAsia="ja-JP"/>
        </w:rPr>
        <w:t>管轄の規定を充分に考慮する必要があります。</w:t>
      </w:r>
    </w:p>
    <w:p w14:paraId="32A7BBD9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</w:p>
    <w:p w14:paraId="67DE4281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この条項は紛争が</w:t>
      </w:r>
      <w:r w:rsidRPr="002C5E97">
        <w:rPr>
          <w:rFonts w:ascii="Montserrat" w:hAnsi="Montserrat" w:cs="MS Mincho"/>
          <w:lang w:eastAsia="ja-JP"/>
        </w:rPr>
        <w:t>調停で解決されない場合</w:t>
      </w:r>
      <w:r w:rsidRPr="002C5E97">
        <w:rPr>
          <w:rFonts w:ascii="Montserrat" w:hAnsi="Montserrat"/>
          <w:lang w:eastAsia="ja-JP"/>
        </w:rPr>
        <w:t>の</w:t>
      </w:r>
      <w:r w:rsidRPr="002C5E97">
        <w:rPr>
          <w:rFonts w:ascii="Montserrat" w:hAnsi="Montserrat"/>
          <w:lang w:eastAsia="ja-JP"/>
        </w:rPr>
        <w:t>CEDR</w:t>
      </w:r>
      <w:r w:rsidRPr="002C5E97">
        <w:rPr>
          <w:rFonts w:ascii="Montserrat" w:hAnsi="Montserrat"/>
          <w:lang w:eastAsia="ja-JP"/>
        </w:rPr>
        <w:t>の仲裁</w:t>
      </w:r>
      <w:r w:rsidRPr="002C5E97">
        <w:rPr>
          <w:rFonts w:ascii="Montserrat" w:hAnsi="Montserrat" w:cs="MS Mincho"/>
          <w:lang w:eastAsia="ja-JP"/>
        </w:rPr>
        <w:t>プロセスに関するものですが、本</w:t>
      </w:r>
      <w:r w:rsidRPr="002C5E97">
        <w:rPr>
          <w:rFonts w:ascii="Montserrat" w:hAnsi="Montserrat"/>
          <w:lang w:eastAsia="ja-JP"/>
        </w:rPr>
        <w:t>契約当事者はその</w:t>
      </w:r>
      <w:r w:rsidRPr="002C5E97">
        <w:rPr>
          <w:rFonts w:ascii="Montserrat" w:hAnsi="Montserrat" w:cs="MS Mincho"/>
          <w:lang w:eastAsia="ja-JP"/>
        </w:rPr>
        <w:t>他の</w:t>
      </w:r>
      <w:r w:rsidRPr="002C5E97">
        <w:rPr>
          <w:rFonts w:ascii="Montserrat" w:hAnsi="Montserrat"/>
          <w:lang w:eastAsia="ja-JP"/>
        </w:rPr>
        <w:t>仲裁機関の仲裁</w:t>
      </w:r>
      <w:r w:rsidRPr="002C5E97">
        <w:rPr>
          <w:rFonts w:ascii="Montserrat" w:hAnsi="Montserrat" w:cs="MS Mincho"/>
          <w:lang w:eastAsia="ja-JP"/>
        </w:rPr>
        <w:t>プロセスを採用</w:t>
      </w:r>
      <w:r w:rsidRPr="002C5E97">
        <w:rPr>
          <w:rFonts w:ascii="Montserrat" w:hAnsi="Montserrat"/>
          <w:lang w:eastAsia="ja-JP"/>
        </w:rPr>
        <w:t>することもできます。</w:t>
      </w:r>
    </w:p>
    <w:p w14:paraId="54AA446D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この条項は、</w:t>
      </w:r>
      <w:r w:rsidRPr="002C5E97">
        <w:rPr>
          <w:rFonts w:ascii="Montserrat" w:hAnsi="Montserrat"/>
          <w:lang w:eastAsia="ja-JP"/>
        </w:rPr>
        <w:t xml:space="preserve">CEDR </w:t>
      </w:r>
      <w:r w:rsidRPr="002C5E97">
        <w:rPr>
          <w:rFonts w:ascii="Montserrat" w:hAnsi="Montserrat"/>
          <w:lang w:eastAsia="ja-JP"/>
        </w:rPr>
        <w:t>の所在地を明白にするため</w:t>
      </w:r>
      <w:r w:rsidRPr="002C5E97" w:rsidDel="00CF02B1">
        <w:rPr>
          <w:rFonts w:ascii="Montserrat" w:hAnsi="Montserrat"/>
          <w:lang w:eastAsia="ja-JP"/>
        </w:rPr>
        <w:t xml:space="preserve"> </w:t>
      </w:r>
      <w:r w:rsidRPr="002C5E97">
        <w:rPr>
          <w:rFonts w:ascii="Montserrat" w:hAnsi="Montserrat"/>
          <w:lang w:eastAsia="ja-JP"/>
        </w:rPr>
        <w:t xml:space="preserve">‘CEDR, </w:t>
      </w:r>
      <w:r w:rsidRPr="002C5E97">
        <w:rPr>
          <w:rFonts w:ascii="Montserrat" w:hAnsi="Montserrat"/>
          <w:lang w:eastAsia="ja-JP"/>
        </w:rPr>
        <w:t>ロンドン</w:t>
      </w:r>
      <w:r w:rsidRPr="002C5E97">
        <w:rPr>
          <w:rFonts w:ascii="Montserrat" w:hAnsi="Montserrat"/>
          <w:lang w:eastAsia="ja-JP"/>
        </w:rPr>
        <w:t>’</w:t>
      </w:r>
      <w:r w:rsidRPr="002C5E97">
        <w:rPr>
          <w:rFonts w:ascii="Montserrat" w:hAnsi="Montserrat"/>
          <w:lang w:eastAsia="ja-JP"/>
        </w:rPr>
        <w:t>と改正できるものとします。</w:t>
      </w:r>
    </w:p>
    <w:p w14:paraId="230FE337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</w:p>
    <w:p w14:paraId="338C71C0" w14:textId="77777777" w:rsidR="002C5E97" w:rsidRPr="002C5E97" w:rsidRDefault="002C5E97" w:rsidP="002C5E97">
      <w:pPr>
        <w:pStyle w:val="n-Para"/>
        <w:spacing w:before="0" w:line="280" w:lineRule="atLeast"/>
        <w:ind w:right="1076"/>
        <w:rPr>
          <w:rFonts w:ascii="Montserrat" w:hAnsi="Montserrat"/>
          <w:lang w:eastAsia="ja-JP"/>
        </w:rPr>
      </w:pPr>
      <w:r w:rsidRPr="002C5E97">
        <w:rPr>
          <w:rFonts w:ascii="Montserrat" w:hAnsi="Montserrat"/>
          <w:lang w:eastAsia="ja-JP"/>
        </w:rPr>
        <w:t>詳細に関しては</w:t>
      </w:r>
      <w:r w:rsidRPr="002C5E97">
        <w:rPr>
          <w:rFonts w:ascii="Montserrat" w:hAnsi="Montserrat"/>
          <w:lang w:eastAsia="ja-JP"/>
        </w:rPr>
        <w:t>CEDR</w:t>
      </w:r>
      <w:r w:rsidRPr="002C5E97">
        <w:rPr>
          <w:rFonts w:ascii="Montserrat" w:hAnsi="Montserrat"/>
          <w:lang w:eastAsia="ja-JP"/>
        </w:rPr>
        <w:t>の</w:t>
      </w:r>
      <w:r w:rsidRPr="002C5E97">
        <w:rPr>
          <w:rFonts w:ascii="Montserrat" w:hAnsi="Montserrat"/>
          <w:lang w:eastAsia="ja-JP"/>
        </w:rPr>
        <w:t>Model ADR Clauses</w:t>
      </w:r>
      <w:r w:rsidRPr="002C5E97">
        <w:rPr>
          <w:rFonts w:ascii="Montserrat" w:hAnsi="Montserrat"/>
          <w:lang w:eastAsia="ja-JP"/>
        </w:rPr>
        <w:t>をご覧ください。</w:t>
      </w:r>
      <w:hyperlink r:id="rId8" w:history="1">
        <w:r w:rsidRPr="002C5E97">
          <w:rPr>
            <w:rStyle w:val="Hyperlink"/>
            <w:rFonts w:ascii="Montserrat" w:hAnsi="Montserrat"/>
            <w:lang w:eastAsia="ja-JP"/>
          </w:rPr>
          <w:t>http://www.cedr.com/about_us/modeldocs/</w:t>
        </w:r>
      </w:hyperlink>
    </w:p>
    <w:p w14:paraId="2DF49224" w14:textId="77777777" w:rsidR="002C5E97" w:rsidRPr="002C5E97" w:rsidRDefault="002C5E97" w:rsidP="002C5E97">
      <w:pPr>
        <w:spacing w:line="360" w:lineRule="auto"/>
        <w:rPr>
          <w:rFonts w:ascii="Montserrat" w:hAnsi="Montserrat" w:cs="Humanist777BT-LightB"/>
          <w:szCs w:val="36"/>
          <w:lang w:eastAsia="en-GB"/>
        </w:rPr>
      </w:pPr>
    </w:p>
    <w:p w14:paraId="1A973C2F" w14:textId="77777777" w:rsidR="002C5E97" w:rsidRPr="002C5E97" w:rsidRDefault="002C5E97" w:rsidP="002C5E97">
      <w:pPr>
        <w:rPr>
          <w:rFonts w:ascii="Montserrat" w:hAnsi="Montserrat"/>
        </w:rPr>
      </w:pPr>
    </w:p>
    <w:p w14:paraId="36EC8707" w14:textId="77777777" w:rsidR="002C5E97" w:rsidRPr="002C5E97" w:rsidRDefault="002C5E97" w:rsidP="002C5E97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2B04FAF9" w14:textId="77777777" w:rsidR="002C5E97" w:rsidRPr="002C5E97" w:rsidRDefault="002C5E97" w:rsidP="002C5E97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791CFDB7" w14:textId="77777777" w:rsidR="002C5E97" w:rsidRPr="002C5E97" w:rsidRDefault="002C5E97" w:rsidP="002C5E97">
      <w:pPr>
        <w:rPr>
          <w:rFonts w:ascii="Montserrat" w:hAnsi="Montserrat" w:cs="Humanist777BT-LightB"/>
          <w:noProof/>
          <w:color w:val="0073FF"/>
          <w:sz w:val="24"/>
          <w:szCs w:val="18"/>
          <w:lang w:eastAsia="en-GB"/>
        </w:rPr>
      </w:pPr>
    </w:p>
    <w:p w14:paraId="683E5ED2" w14:textId="77777777" w:rsidR="002C5E97" w:rsidRPr="002C5E97" w:rsidRDefault="002C5E97" w:rsidP="002C5E97">
      <w:pPr>
        <w:autoSpaceDE w:val="0"/>
        <w:autoSpaceDN w:val="0"/>
        <w:adjustRightInd w:val="0"/>
        <w:spacing w:line="360" w:lineRule="auto"/>
        <w:rPr>
          <w:rFonts w:ascii="Montserrat" w:hAnsi="Montserrat" w:cs="Humanist777BT-LightB"/>
          <w:color w:val="0073FF"/>
          <w:lang w:eastAsia="en-GB"/>
        </w:rPr>
      </w:pPr>
    </w:p>
    <w:p w14:paraId="4EA765B4" w14:textId="77777777" w:rsidR="002C5E97" w:rsidRPr="002C5E97" w:rsidRDefault="002C5E97" w:rsidP="002C5E97">
      <w:pPr>
        <w:rPr>
          <w:rFonts w:ascii="Montserrat" w:hAnsi="Montserrat"/>
        </w:rPr>
      </w:pPr>
    </w:p>
    <w:sectPr w:rsidR="002C5E97" w:rsidRPr="002C5E97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2C5E97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2C5E97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2C5E97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2C5E97"/>
    <w:rsid w:val="0042710E"/>
    <w:rsid w:val="004F7CDE"/>
    <w:rsid w:val="005E03C1"/>
    <w:rsid w:val="0071365E"/>
    <w:rsid w:val="00735FB3"/>
    <w:rsid w:val="00774C5F"/>
    <w:rsid w:val="007965AF"/>
    <w:rsid w:val="008011AE"/>
    <w:rsid w:val="00877D33"/>
    <w:rsid w:val="008D154F"/>
    <w:rsid w:val="009B249A"/>
    <w:rsid w:val="009B6AAF"/>
    <w:rsid w:val="009D7952"/>
    <w:rsid w:val="00AC46F9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  <w:style w:type="paragraph" w:customStyle="1" w:styleId="n-Para">
    <w:name w:val="n-Para"/>
    <w:rsid w:val="002C5E97"/>
    <w:pPr>
      <w:tabs>
        <w:tab w:val="left" w:pos="567"/>
      </w:tabs>
      <w:spacing w:before="120" w:after="0" w:line="240" w:lineRule="auto"/>
    </w:pPr>
    <w:rPr>
      <w:rFonts w:ascii="Arial" w:eastAsia="MS Mincho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795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qFormat/>
    <w:rsid w:val="009D7952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52"/>
    <w:rPr>
      <w:rFonts w:ascii="Humnst777 Lt BT" w:eastAsia="Humnst777 Lt BT" w:hAnsi="Humnst777 Lt BT" w:cs="Humnst777 Lt BT"/>
      <w:sz w:val="17"/>
      <w:szCs w:val="17"/>
      <w:lang w:val="en-US"/>
    </w:rPr>
  </w:style>
  <w:style w:type="paragraph" w:customStyle="1" w:styleId="n-Para">
    <w:name w:val="n-Para"/>
    <w:rsid w:val="002C5E97"/>
    <w:pPr>
      <w:tabs>
        <w:tab w:val="left" w:pos="567"/>
      </w:tabs>
      <w:spacing w:before="120" w:after="0" w:line="240" w:lineRule="auto"/>
    </w:pPr>
    <w:rPr>
      <w:rFonts w:ascii="Arial" w:eastAsia="MS Mincho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619C-75D0-49F0-8838-DCC2A921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2019-09-10T12:32:00Z</dcterms:created>
  <dcterms:modified xsi:type="dcterms:W3CDTF">2019-09-10T12:32:00Z</dcterms:modified>
</cp:coreProperties>
</file>