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250BC" w14:textId="77777777" w:rsidR="00AC46F9" w:rsidRPr="008011AE" w:rsidRDefault="00AC46F9" w:rsidP="008011AE">
      <w:pPr>
        <w:rPr>
          <w:rFonts w:ascii="Montserrat" w:hAnsi="Montserrat"/>
        </w:rPr>
      </w:pPr>
    </w:p>
    <w:p w14:paraId="31B6A08C" w14:textId="77777777" w:rsidR="008011AE" w:rsidRPr="008011AE" w:rsidRDefault="008011AE" w:rsidP="008011AE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3A5E9D"/>
          <w:sz w:val="18"/>
          <w:szCs w:val="36"/>
          <w:lang w:val="fr-FR" w:eastAsia="en-GB"/>
        </w:rPr>
      </w:pPr>
      <w:r w:rsidRPr="008011AE">
        <w:rPr>
          <w:rFonts w:ascii="Montserrat" w:hAnsi="Montserrat"/>
          <w:b/>
          <w:color w:val="3A5E9D"/>
          <w:sz w:val="26"/>
          <w:szCs w:val="26"/>
        </w:rPr>
        <w:br/>
        <w:t>Polish</w:t>
      </w:r>
      <w:r w:rsidRPr="008011AE">
        <w:rPr>
          <w:rFonts w:ascii="Montserrat" w:hAnsi="Montserrat"/>
          <w:b/>
          <w:color w:val="3A5E9D"/>
          <w:sz w:val="28"/>
        </w:rPr>
        <w:br/>
      </w:r>
      <w:r w:rsidRPr="008011AE">
        <w:rPr>
          <w:rFonts w:ascii="Montserrat" w:hAnsi="Montserrat" w:cs="Humanist777BT-LightB"/>
          <w:b/>
          <w:color w:val="3A5E9D"/>
          <w:sz w:val="18"/>
          <w:szCs w:val="18"/>
          <w:lang w:val="pl-PL" w:eastAsia="en-GB"/>
        </w:rPr>
        <w:t>Mi</w:t>
      </w:r>
      <w:r w:rsidRPr="008011AE">
        <w:rPr>
          <w:rFonts w:ascii="Montserrat" w:hAnsi="Montserrat" w:cs="Arial"/>
          <w:b/>
          <w:color w:val="3A5E9D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b/>
          <w:color w:val="3A5E9D"/>
          <w:sz w:val="18"/>
          <w:szCs w:val="18"/>
          <w:lang w:val="pl-PL" w:eastAsia="en-GB"/>
        </w:rPr>
        <w:t>dzynarodowa klauzula mediacyjna</w:t>
      </w:r>
      <w:r w:rsidRPr="008011AE">
        <w:rPr>
          <w:rFonts w:ascii="Montserrat" w:hAnsi="Montserrat" w:cs="Humanist777BT-LightB"/>
          <w:b/>
          <w:color w:val="3A5E9D"/>
          <w:sz w:val="18"/>
          <w:szCs w:val="18"/>
          <w:lang w:val="pl-PL" w:eastAsia="en-GB"/>
        </w:rPr>
        <w:tab/>
      </w:r>
      <w:r w:rsidRPr="008011AE">
        <w:rPr>
          <w:rFonts w:ascii="Montserrat" w:hAnsi="Montserrat" w:cs="Humanist777BT-LightB"/>
          <w:b/>
          <w:color w:val="3A5E9D"/>
          <w:sz w:val="18"/>
          <w:szCs w:val="18"/>
          <w:lang w:val="pl-PL" w:eastAsia="en-GB"/>
        </w:rPr>
        <w:br/>
      </w:r>
      <w:r w:rsidRPr="008011AE">
        <w:rPr>
          <w:rFonts w:ascii="Montserrat" w:hAnsi="Montserrat" w:cs="Humanist777BT-LightB"/>
          <w:color w:val="3A5E9D"/>
          <w:sz w:val="18"/>
          <w:szCs w:val="18"/>
          <w:lang w:val="pl-PL" w:eastAsia="en-GB"/>
        </w:rPr>
        <w:br/>
      </w:r>
      <w:r w:rsidRPr="008011AE">
        <w:rPr>
          <w:rFonts w:ascii="Montserrat" w:hAnsi="Montserrat" w:cs="Humanist777BT-LightB"/>
          <w:color w:val="3A5E9D"/>
          <w:sz w:val="20"/>
          <w:szCs w:val="18"/>
          <w:lang w:val="pl-PL" w:eastAsia="en-GB"/>
        </w:rPr>
        <w:t>WZÓR BRZMIENIA</w:t>
      </w:r>
    </w:p>
    <w:p w14:paraId="4639EB8F" w14:textId="77777777" w:rsidR="008011AE" w:rsidRPr="008011AE" w:rsidRDefault="008011AE" w:rsidP="008011AE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pl-PL" w:eastAsia="en-GB"/>
        </w:rPr>
      </w:pP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‘W przypadku zaistnienia jakiegokolwiek sporu w zwi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zku z niniejsz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umow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, strony podejm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pr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b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jego rozwi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zania w drodze mediacji wed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ug Modelowej Procedury Mediacji CEDR, a mediacja rozpocznie si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w ci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gu 28 dni od przed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o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enia przez stron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dania rozpocz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cia mediacji drugiej stronie, o ile strony nie postanowi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inaczej. Mediator zostanie wyznaczony przez CEDR, o ile strony nie postanowi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inaczej. </w:t>
      </w:r>
    </w:p>
    <w:p w14:paraId="370E987A" w14:textId="77777777" w:rsidR="008011AE" w:rsidRPr="008011AE" w:rsidRDefault="008011AE" w:rsidP="008011AE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pl-PL" w:eastAsia="en-GB"/>
        </w:rPr>
      </w:pP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Post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powanie mediacyjne odb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dzie si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w [miejscowo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ś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/kraj; miejscowo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ś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/kraj którejkolwiek ze stron/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adnej ze stron] i b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dzie prowadzone w j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zyku [Angielskim]. Umowa o Mediacj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, o kt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rej mowa w Modelowej Procedurze b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dzie podlega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a prawu materialnemu [Anglii i Walii] i zgodnie z tym prawem b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dzie interpretowana i skuteczna.</w:t>
      </w:r>
    </w:p>
    <w:p w14:paraId="45FC5DC1" w14:textId="77777777" w:rsidR="008011AE" w:rsidRPr="008011AE" w:rsidRDefault="008011AE" w:rsidP="008011AE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pl-PL" w:eastAsia="en-GB"/>
        </w:rPr>
      </w:pP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Je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ś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li sp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r nie zostanie rozwi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zany w drodze mediacji w ci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gu [14] dni od rozpocz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cia mediacji lub w ci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gu dalszego okresu uzgodnionego przez strony na pi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ś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mie, sp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r taki zostanie ostatecznie rozstrzygni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ty w drodze arbitra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u. CEDR b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dzie organem mianuj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cym i administratorem arbitra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u. CEDR stosowa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b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dzie regulamin UNCITRAL b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cy w mocy w chwili zainicjowania arbitra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u. W jakimkolwiek post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powaniu arbitra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owym wszcz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tym na podstawie niniejszej klauzuli, liczba arbitr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w wynosi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b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dzie [1-3], a miejscem post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powania arbitra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owego b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dzie [Londyn, Anglia].</w:t>
      </w:r>
    </w:p>
    <w:p w14:paraId="565276D1" w14:textId="77777777" w:rsidR="008011AE" w:rsidRPr="008011AE" w:rsidRDefault="008011AE" w:rsidP="008011AE">
      <w:pPr>
        <w:spacing w:line="360" w:lineRule="auto"/>
        <w:jc w:val="both"/>
        <w:rPr>
          <w:rFonts w:ascii="Montserrat" w:hAnsi="Montserrat" w:cs="Humanist777BT-LightB"/>
          <w:color w:val="3A5E9D"/>
          <w:sz w:val="20"/>
          <w:szCs w:val="18"/>
          <w:lang w:val="pl-PL" w:eastAsia="en-GB"/>
        </w:rPr>
      </w:pPr>
      <w:bookmarkStart w:id="0" w:name="_GoBack"/>
      <w:bookmarkEnd w:id="0"/>
      <w:r w:rsidRPr="008011AE">
        <w:rPr>
          <w:rFonts w:ascii="Montserrat" w:hAnsi="Montserrat" w:cs="Humanist777BT-LightB"/>
          <w:color w:val="3A5E9D"/>
          <w:sz w:val="20"/>
          <w:szCs w:val="18"/>
          <w:lang w:val="pl-PL" w:eastAsia="en-GB"/>
        </w:rPr>
        <w:t>UWAGI</w:t>
      </w:r>
    </w:p>
    <w:p w14:paraId="34A51036" w14:textId="77777777" w:rsidR="008011AE" w:rsidRPr="008011AE" w:rsidRDefault="008011AE" w:rsidP="008011AE">
      <w:pPr>
        <w:spacing w:line="360" w:lineRule="auto"/>
        <w:rPr>
          <w:rFonts w:ascii="Montserrat" w:hAnsi="Montserrat" w:cs="Humanist777BT-LightB"/>
          <w:sz w:val="18"/>
          <w:szCs w:val="18"/>
          <w:lang w:eastAsia="en-GB"/>
        </w:rPr>
      </w:pP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Niniejsza modelowa klauzula jest odpowiednia dla mi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dzynarodowych kontrakt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w, tj. kontraktów mi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dzy stronami w r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nych jurysdykcjach, jednak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e nale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y rozwa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y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zawarcie postanowie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ń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odnosz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cych si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do miejsca/j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zyka mediacji, jak r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wnie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prawa w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a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ś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ciwego i jurysdykcji maj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cych zastosowanie do umowy o mediacj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zgodnie z niniejszym paragrafem. </w:t>
      </w:r>
    </w:p>
    <w:p w14:paraId="3B6BAAC1" w14:textId="77777777" w:rsidR="008011AE" w:rsidRPr="008011AE" w:rsidRDefault="008011AE" w:rsidP="008011AE">
      <w:pPr>
        <w:spacing w:line="360" w:lineRule="auto"/>
        <w:rPr>
          <w:rFonts w:ascii="Montserrat" w:hAnsi="Montserrat" w:cs="Humanist777BT-LightB"/>
          <w:sz w:val="18"/>
          <w:szCs w:val="18"/>
          <w:lang w:val="pl-PL" w:eastAsia="en-GB"/>
        </w:rPr>
      </w:pP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Klauzula odsyła do arbitra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u pod patronatem CEDR, je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ś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li mediacja nie doprowadzi do rozwi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zania sporu, jednak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e inna instytucja arbitra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owa i jej regulamin mog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by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okre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ś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lone, je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ś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li strony tak postanowi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ą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.</w:t>
      </w:r>
    </w:p>
    <w:p w14:paraId="2C827E5D" w14:textId="77777777" w:rsidR="008011AE" w:rsidRPr="008011AE" w:rsidRDefault="008011AE" w:rsidP="008011AE">
      <w:pPr>
        <w:spacing w:line="360" w:lineRule="auto"/>
        <w:rPr>
          <w:rFonts w:ascii="Montserrat" w:hAnsi="Montserrat" w:cs="Humanist777BT-LightB"/>
          <w:sz w:val="18"/>
          <w:szCs w:val="18"/>
          <w:lang w:val="pl-PL" w:eastAsia="en-GB"/>
        </w:rPr>
      </w:pP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Klauzula mo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e zosta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zmieniona aby odwo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ywa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a si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do 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‘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CEDR Londyn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, je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ś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li sprawozdawca uzna, 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ż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e ja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ś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niej okre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ś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li to gdzie znale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ź</w:t>
      </w:r>
      <w:r w:rsidRPr="008011AE"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CEDR dla mi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dzynarodowych stron. </w:t>
      </w:r>
    </w:p>
    <w:p w14:paraId="25367DDE" w14:textId="77777777" w:rsidR="008011AE" w:rsidRPr="008011AE" w:rsidRDefault="008011AE" w:rsidP="008011AE">
      <w:pPr>
        <w:spacing w:line="360" w:lineRule="auto"/>
        <w:rPr>
          <w:rFonts w:ascii="Montserrat" w:hAnsi="Montserrat" w:cs="Humanist777BT-LightB"/>
          <w:color w:val="0073FF"/>
          <w:sz w:val="18"/>
          <w:szCs w:val="18"/>
          <w:lang w:val="pl-PL" w:eastAsia="en-GB"/>
        </w:rPr>
      </w:pP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>W celu uzyskania dalszych informacji, prosimy o zapoznanie si</w:t>
      </w:r>
      <w:r w:rsidRPr="008011AE">
        <w:rPr>
          <w:rFonts w:ascii="Montserrat" w:hAnsi="Montserrat" w:cs="Arial"/>
          <w:sz w:val="18"/>
          <w:szCs w:val="18"/>
          <w:lang w:val="pl-PL" w:eastAsia="en-GB"/>
        </w:rPr>
        <w:t>ę</w:t>
      </w:r>
      <w:r w:rsidRPr="008011AE">
        <w:rPr>
          <w:rFonts w:ascii="Montserrat" w:hAnsi="Montserrat" w:cs="Humanist777BT-LightB"/>
          <w:sz w:val="18"/>
          <w:szCs w:val="18"/>
          <w:lang w:val="pl-PL" w:eastAsia="en-GB"/>
        </w:rPr>
        <w:t xml:space="preserve"> z Modelowymi Klauzulami ADR CEDR pod adresem </w:t>
      </w:r>
      <w:hyperlink r:id="rId8" w:history="1">
        <w:r w:rsidRPr="008011AE">
          <w:rPr>
            <w:rStyle w:val="Hyperlink"/>
            <w:rFonts w:ascii="Montserrat" w:hAnsi="Montserrat" w:cs="Humanist777BT-LightB"/>
            <w:sz w:val="18"/>
            <w:szCs w:val="18"/>
            <w:lang w:val="pl-PL" w:eastAsia="en-GB"/>
          </w:rPr>
          <w:t>http://www.cedr.com/about_us/modeldocs/</w:t>
        </w:r>
      </w:hyperlink>
    </w:p>
    <w:p w14:paraId="36877D73" w14:textId="77777777" w:rsidR="008011AE" w:rsidRPr="008011AE" w:rsidRDefault="008011AE" w:rsidP="008011AE">
      <w:pPr>
        <w:spacing w:line="360" w:lineRule="auto"/>
        <w:rPr>
          <w:rFonts w:ascii="Montserrat" w:hAnsi="Montserrat"/>
          <w:sz w:val="18"/>
          <w:lang w:val="pl-PL"/>
        </w:rPr>
      </w:pPr>
    </w:p>
    <w:p w14:paraId="06E4696A" w14:textId="77777777" w:rsidR="008011AE" w:rsidRPr="008011AE" w:rsidRDefault="008011AE" w:rsidP="008011AE">
      <w:pPr>
        <w:tabs>
          <w:tab w:val="left" w:pos="2355"/>
        </w:tabs>
        <w:rPr>
          <w:rFonts w:ascii="Montserrat" w:hAnsi="Montserrat"/>
          <w:sz w:val="18"/>
          <w:lang w:val="pl-PL"/>
        </w:rPr>
      </w:pPr>
      <w:r w:rsidRPr="008011AE">
        <w:rPr>
          <w:rFonts w:ascii="Montserrat" w:hAnsi="Montserrat"/>
          <w:sz w:val="18"/>
          <w:lang w:val="pl-PL"/>
        </w:rPr>
        <w:tab/>
      </w:r>
    </w:p>
    <w:p w14:paraId="4BF93016" w14:textId="77777777" w:rsidR="008011AE" w:rsidRPr="008011AE" w:rsidRDefault="008011AE" w:rsidP="008011AE">
      <w:pPr>
        <w:rPr>
          <w:rFonts w:ascii="Montserrat" w:hAnsi="Montserrat"/>
        </w:rPr>
      </w:pPr>
    </w:p>
    <w:sectPr w:rsidR="008011AE" w:rsidRPr="008011AE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@cedrsays</w:t>
          </w:r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8011AE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8011AE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8011AE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E03C1"/>
    <w:rsid w:val="0071365E"/>
    <w:rsid w:val="00735FB3"/>
    <w:rsid w:val="00774C5F"/>
    <w:rsid w:val="007965AF"/>
    <w:rsid w:val="008011AE"/>
    <w:rsid w:val="00877D33"/>
    <w:rsid w:val="008D154F"/>
    <w:rsid w:val="009B249A"/>
    <w:rsid w:val="009B6AAF"/>
    <w:rsid w:val="009D7952"/>
    <w:rsid w:val="00AC46F9"/>
    <w:rsid w:val="00AF07EA"/>
    <w:rsid w:val="00BF2C32"/>
    <w:rsid w:val="00CB6D22"/>
    <w:rsid w:val="00CD44C0"/>
    <w:rsid w:val="00CE3373"/>
    <w:rsid w:val="00D4290C"/>
    <w:rsid w:val="00D62D15"/>
    <w:rsid w:val="00E544F6"/>
    <w:rsid w:val="00EB0F6A"/>
    <w:rsid w:val="00EC5326"/>
    <w:rsid w:val="00EE77D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9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7952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qFormat/>
    <w:rsid w:val="009D7952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7952"/>
    <w:rPr>
      <w:rFonts w:ascii="Humnst777 Lt BT" w:eastAsia="Humnst777 Lt BT" w:hAnsi="Humnst777 Lt BT" w:cs="Humnst777 Lt BT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9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7952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qFormat/>
    <w:rsid w:val="009D7952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7952"/>
    <w:rPr>
      <w:rFonts w:ascii="Humnst777 Lt BT" w:eastAsia="Humnst777 Lt BT" w:hAnsi="Humnst777 Lt BT" w:cs="Humnst777 Lt BT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about_us/modeldo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FB89-BF2B-4D89-A8E0-C4F5279E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2019-09-10T12:32:00Z</dcterms:created>
  <dcterms:modified xsi:type="dcterms:W3CDTF">2019-09-10T12:32:00Z</dcterms:modified>
</cp:coreProperties>
</file>