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0E10" w14:textId="408734A6" w:rsidR="00BF2C32" w:rsidRPr="0071365E" w:rsidRDefault="00BF2C32" w:rsidP="0071365E">
      <w:pPr>
        <w:rPr>
          <w:rFonts w:ascii="Montserrat" w:hAnsi="Montserrat"/>
        </w:rPr>
      </w:pPr>
    </w:p>
    <w:p w14:paraId="0159EFC7" w14:textId="77777777" w:rsidR="0071365E" w:rsidRPr="0071365E" w:rsidRDefault="0071365E" w:rsidP="0071365E">
      <w:pPr>
        <w:spacing w:after="0" w:line="380" w:lineRule="exact"/>
        <w:rPr>
          <w:rFonts w:ascii="Montserrat" w:hAnsi="Montserrat" w:cstheme="majorBidi"/>
          <w:b/>
          <w:bCs/>
          <w:color w:val="4472C4" w:themeColor="accent1"/>
          <w:sz w:val="20"/>
          <w:szCs w:val="20"/>
        </w:rPr>
      </w:pPr>
      <w:r w:rsidRPr="0071365E">
        <w:rPr>
          <w:rFonts w:ascii="Tahoma" w:hAnsi="Tahoma" w:cs="Tahoma" w:hint="cs"/>
          <w:b/>
          <w:bCs/>
          <w:color w:val="4472C4" w:themeColor="accent1"/>
          <w:sz w:val="20"/>
          <w:szCs w:val="20"/>
          <w:cs/>
        </w:rPr>
        <w:t>ภาษาไทย</w:t>
      </w:r>
    </w:p>
    <w:p w14:paraId="7250437D" w14:textId="77777777" w:rsidR="0071365E" w:rsidRPr="0071365E" w:rsidRDefault="0071365E" w:rsidP="0071365E">
      <w:pPr>
        <w:spacing w:after="0" w:line="380" w:lineRule="exact"/>
        <w:rPr>
          <w:rFonts w:ascii="Montserrat" w:hAnsi="Montserrat" w:cstheme="majorBidi"/>
          <w:b/>
          <w:bCs/>
          <w:color w:val="4472C4" w:themeColor="accent1"/>
          <w:sz w:val="20"/>
          <w:szCs w:val="20"/>
          <w:cs/>
        </w:rPr>
      </w:pPr>
      <w:r w:rsidRPr="0071365E">
        <w:rPr>
          <w:rFonts w:ascii="Tahoma" w:hAnsi="Tahoma" w:cs="Tahoma" w:hint="cs"/>
          <w:b/>
          <w:bCs/>
          <w:color w:val="4472C4" w:themeColor="accent1"/>
          <w:sz w:val="20"/>
          <w:szCs w:val="20"/>
          <w:cs/>
        </w:rPr>
        <w:t>ข้อกำหนดหลักการไกล่เกลี่ยระหว่างประเทศ</w:t>
      </w:r>
    </w:p>
    <w:p w14:paraId="0C39F3F9" w14:textId="77777777" w:rsidR="0071365E" w:rsidRPr="0071365E" w:rsidRDefault="0071365E" w:rsidP="0071365E">
      <w:pPr>
        <w:spacing w:after="0" w:line="180" w:lineRule="exact"/>
        <w:rPr>
          <w:rFonts w:ascii="Montserrat" w:hAnsi="Montserrat" w:cstheme="majorBidi"/>
          <w:b/>
          <w:bCs/>
          <w:sz w:val="20"/>
          <w:szCs w:val="20"/>
        </w:rPr>
      </w:pPr>
    </w:p>
    <w:p w14:paraId="26514324" w14:textId="77777777" w:rsidR="0071365E" w:rsidRPr="0071365E" w:rsidRDefault="0071365E" w:rsidP="0071365E">
      <w:pPr>
        <w:spacing w:after="0" w:line="380" w:lineRule="exact"/>
        <w:rPr>
          <w:rFonts w:ascii="Montserrat" w:hAnsi="Montserrat" w:cstheme="majorBidi"/>
          <w:color w:val="4472C4" w:themeColor="accent1"/>
          <w:sz w:val="20"/>
          <w:szCs w:val="20"/>
        </w:rPr>
      </w:pPr>
      <w:r w:rsidRPr="0071365E">
        <w:rPr>
          <w:rFonts w:ascii="Tahoma" w:hAnsi="Tahoma" w:cs="Tahoma" w:hint="cs"/>
          <w:color w:val="4472C4" w:themeColor="accent1"/>
          <w:sz w:val="20"/>
          <w:szCs w:val="20"/>
          <w:cs/>
        </w:rPr>
        <w:t>ถ้อยคำหลัก</w:t>
      </w:r>
    </w:p>
    <w:p w14:paraId="168991F3" w14:textId="77777777" w:rsidR="0071365E" w:rsidRPr="0071365E" w:rsidRDefault="0071365E" w:rsidP="0071365E">
      <w:pPr>
        <w:spacing w:after="0" w:line="380" w:lineRule="exact"/>
        <w:rPr>
          <w:rFonts w:ascii="Montserrat" w:hAnsi="Montserrat" w:cs="Angsana New"/>
          <w:sz w:val="20"/>
          <w:szCs w:val="20"/>
        </w:rPr>
      </w:pPr>
      <w:r w:rsidRPr="0071365E">
        <w:rPr>
          <w:rFonts w:ascii="Montserrat" w:hAnsi="Montserrat" w:cstheme="majorBidi"/>
          <w:sz w:val="20"/>
          <w:szCs w:val="20"/>
          <w:cs/>
        </w:rPr>
        <w:t>“</w:t>
      </w:r>
      <w:r w:rsidRPr="0071365E">
        <w:rPr>
          <w:rFonts w:ascii="Tahoma" w:hAnsi="Tahoma" w:cs="Tahoma" w:hint="cs"/>
          <w:sz w:val="20"/>
          <w:szCs w:val="20"/>
          <w:cs/>
        </w:rPr>
        <w:t>หากเกิดข้อพิพาทที่มีความสัมพันธ์กับข้อตกลงนี้ขึ้น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 </w:t>
      </w:r>
      <w:r w:rsidRPr="0071365E">
        <w:rPr>
          <w:rFonts w:ascii="Tahoma" w:hAnsi="Tahoma" w:cs="Tahoma" w:hint="cs"/>
          <w:sz w:val="20"/>
          <w:szCs w:val="20"/>
          <w:cs/>
        </w:rPr>
        <w:t>คู่สัญญาทั้งสองฝ่ายจะพยายามแก้ไขยุติปัญหาด้วยการเจรจาไกล่เกลี่ยด้วยความบริสุทธิ์ใจตามรูปแบบกระบวนการการไกล่เกลี่ยของ</w:t>
      </w:r>
      <w:r w:rsidRPr="0071365E">
        <w:rPr>
          <w:rFonts w:ascii="Montserrat" w:hAnsi="Montserrat" w:cs="Angsana New"/>
          <w:sz w:val="20"/>
          <w:szCs w:val="20"/>
          <w:cs/>
        </w:rPr>
        <w:t xml:space="preserve">ศูนย์การระงับข้อพิพาทแบบมีประสิทธิภาพ </w:t>
      </w:r>
      <w:r w:rsidRPr="0071365E">
        <w:rPr>
          <w:rFonts w:ascii="Tahoma" w:hAnsi="Tahoma" w:cs="Tahoma" w:hint="cs"/>
          <w:sz w:val="20"/>
          <w:szCs w:val="20"/>
          <w:cs/>
        </w:rPr>
        <w:t>และการเจรจาไกล่เกลี่ยจะเริ่มต้นภายใน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Montserrat" w:hAnsi="Montserrat" w:cstheme="majorBidi"/>
          <w:sz w:val="20"/>
          <w:szCs w:val="20"/>
        </w:rPr>
        <w:t xml:space="preserve">28 </w:t>
      </w:r>
      <w:r w:rsidRPr="0071365E">
        <w:rPr>
          <w:rFonts w:ascii="Tahoma" w:hAnsi="Tahoma" w:cs="Tahoma" w:hint="cs"/>
          <w:sz w:val="20"/>
          <w:szCs w:val="20"/>
          <w:cs/>
        </w:rPr>
        <w:t>วัน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นับตั้งแต่เมื่อคู่สัญญาฝ่ายหนึ่งแจ้งความประสงค์เพื่อขอไกล่เกลี่ยกับคู่สัญญาอีกฝ่าย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เว้นแต่จะมีการตกลงเป็นอย่างอื่นโดยคู่สัญญาทั้งสองฝ่าย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Montserrat" w:hAnsi="Montserrat" w:cs="Angsana New"/>
          <w:sz w:val="20"/>
          <w:szCs w:val="20"/>
          <w:cs/>
        </w:rPr>
        <w:t>ศูนย์การระงับข้อพิพาทแบบมีประสิทธิภาพจะเป็นผู้เสนอชื่อ</w:t>
      </w:r>
      <w:r w:rsidRPr="0071365E">
        <w:rPr>
          <w:rFonts w:ascii="Tahoma" w:hAnsi="Tahoma" w:cs="Tahoma" w:hint="cs"/>
          <w:sz w:val="20"/>
          <w:szCs w:val="20"/>
          <w:cs/>
        </w:rPr>
        <w:t>ผู้ไกล่เกลี่ย</w:t>
      </w:r>
      <w:r w:rsidRPr="0071365E">
        <w:rPr>
          <w:rFonts w:ascii="Montserrat" w:hAnsi="Montserrat" w:cs="Angsana New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เว้นแต่จะมีการตกลงเป็นอย่างอื่นระหว่างคู่สัญญาทั้งสองฝ่าย</w:t>
      </w:r>
    </w:p>
    <w:p w14:paraId="36B0D0E6" w14:textId="77777777" w:rsidR="0071365E" w:rsidRPr="0071365E" w:rsidRDefault="0071365E" w:rsidP="0071365E">
      <w:pPr>
        <w:spacing w:after="0" w:line="380" w:lineRule="exact"/>
        <w:rPr>
          <w:rFonts w:ascii="Montserrat" w:hAnsi="Montserrat" w:cstheme="majorBidi"/>
          <w:sz w:val="20"/>
          <w:szCs w:val="20"/>
        </w:rPr>
      </w:pPr>
    </w:p>
    <w:p w14:paraId="384AD52E" w14:textId="77777777" w:rsidR="0071365E" w:rsidRPr="0071365E" w:rsidRDefault="0071365E" w:rsidP="0071365E">
      <w:pPr>
        <w:spacing w:after="0" w:line="380" w:lineRule="exact"/>
        <w:rPr>
          <w:rFonts w:ascii="Montserrat" w:hAnsi="Montserrat" w:cstheme="majorBidi"/>
          <w:sz w:val="20"/>
          <w:szCs w:val="20"/>
        </w:rPr>
      </w:pPr>
      <w:r w:rsidRPr="0071365E">
        <w:rPr>
          <w:rFonts w:ascii="Tahoma" w:hAnsi="Tahoma" w:cs="Tahoma" w:hint="cs"/>
          <w:sz w:val="20"/>
          <w:szCs w:val="20"/>
          <w:cs/>
        </w:rPr>
        <w:t>การเจรจาไกล่เกลี่ยจะจัดให้มีขึ้น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ณ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[</w:t>
      </w:r>
      <w:r w:rsidRPr="0071365E">
        <w:rPr>
          <w:rFonts w:ascii="Tahoma" w:hAnsi="Tahoma" w:cs="Tahoma" w:hint="cs"/>
          <w:sz w:val="20"/>
          <w:szCs w:val="20"/>
          <w:cs/>
        </w:rPr>
        <w:t>ระบุชื่อเมือง</w:t>
      </w:r>
      <w:r w:rsidRPr="0071365E">
        <w:rPr>
          <w:rFonts w:ascii="Montserrat" w:hAnsi="Montserrat" w:cstheme="majorBidi"/>
          <w:sz w:val="20"/>
          <w:szCs w:val="20"/>
          <w:cs/>
        </w:rPr>
        <w:t>/</w:t>
      </w:r>
      <w:r w:rsidRPr="0071365E">
        <w:rPr>
          <w:rFonts w:ascii="Tahoma" w:hAnsi="Tahoma" w:cs="Tahoma" w:hint="cs"/>
          <w:sz w:val="20"/>
          <w:szCs w:val="20"/>
          <w:cs/>
        </w:rPr>
        <w:t>ประเทศ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;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 </w:t>
      </w:r>
      <w:r w:rsidRPr="0071365E">
        <w:rPr>
          <w:rFonts w:ascii="Tahoma" w:hAnsi="Tahoma" w:cs="Tahoma" w:hint="cs"/>
          <w:sz w:val="20"/>
          <w:szCs w:val="20"/>
          <w:cs/>
        </w:rPr>
        <w:t>เมือง</w:t>
      </w:r>
      <w:r w:rsidRPr="0071365E">
        <w:rPr>
          <w:rFonts w:ascii="Montserrat" w:hAnsi="Montserrat" w:cstheme="majorBidi"/>
          <w:sz w:val="20"/>
          <w:szCs w:val="20"/>
          <w:cs/>
        </w:rPr>
        <w:t>/</w:t>
      </w:r>
      <w:r w:rsidRPr="0071365E">
        <w:rPr>
          <w:rFonts w:ascii="Tahoma" w:hAnsi="Tahoma" w:cs="Tahoma" w:hint="cs"/>
          <w:sz w:val="20"/>
          <w:szCs w:val="20"/>
          <w:cs/>
        </w:rPr>
        <w:t>ประเทศของคู่สัญญาฝ่ายใดฝ่ายหนึ่งหรือไม่ใช่ของทั้งสองฝ่าย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]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และภาษาที่ใช้ในการเจรจาไกล่เกลี่ยจะเป็น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[</w:t>
      </w:r>
      <w:r w:rsidRPr="0071365E">
        <w:rPr>
          <w:rFonts w:ascii="Tahoma" w:hAnsi="Tahoma" w:cs="Tahoma" w:hint="cs"/>
          <w:sz w:val="20"/>
          <w:szCs w:val="20"/>
          <w:cs/>
        </w:rPr>
        <w:t>ภาษาอังกฤษ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]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 </w:t>
      </w:r>
      <w:r w:rsidRPr="0071365E">
        <w:rPr>
          <w:rFonts w:ascii="Tahoma" w:hAnsi="Tahoma" w:cs="Tahoma" w:hint="cs"/>
          <w:sz w:val="20"/>
          <w:szCs w:val="20"/>
          <w:cs/>
        </w:rPr>
        <w:t>ข้อตกลงการไกล่เกลี่ยที่ได้รับการพิจารณาตามรูปแบบกระบวนการจะอยู่ภายใต้การบังคับและการตีความและบังเกิดผลตามกฎหมายสารบัญญัติ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(</w:t>
      </w:r>
      <w:r w:rsidRPr="0071365E">
        <w:rPr>
          <w:rFonts w:ascii="Tahoma" w:hAnsi="Tahoma" w:cs="Tahoma" w:hint="cs"/>
          <w:sz w:val="20"/>
          <w:szCs w:val="20"/>
          <w:cs/>
        </w:rPr>
        <w:t>อังกฤษและเวลส์</w:t>
      </w:r>
      <w:r w:rsidRPr="0071365E">
        <w:rPr>
          <w:rFonts w:ascii="Montserrat" w:hAnsi="Montserrat" w:cstheme="majorBidi"/>
          <w:sz w:val="20"/>
          <w:szCs w:val="20"/>
          <w:cs/>
        </w:rPr>
        <w:t>)</w:t>
      </w:r>
    </w:p>
    <w:p w14:paraId="29E12672" w14:textId="77777777" w:rsidR="0071365E" w:rsidRPr="0071365E" w:rsidRDefault="0071365E" w:rsidP="0071365E">
      <w:pPr>
        <w:spacing w:after="0" w:line="380" w:lineRule="exact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14:paraId="3D8CA9FF" w14:textId="77777777" w:rsidR="0071365E" w:rsidRPr="0071365E" w:rsidRDefault="0071365E" w:rsidP="0071365E">
      <w:pPr>
        <w:spacing w:after="0" w:line="380" w:lineRule="exact"/>
        <w:rPr>
          <w:rFonts w:ascii="Montserrat" w:hAnsi="Montserrat" w:cstheme="majorBidi"/>
          <w:sz w:val="20"/>
          <w:szCs w:val="20"/>
        </w:rPr>
      </w:pPr>
      <w:r w:rsidRPr="0071365E">
        <w:rPr>
          <w:rFonts w:ascii="Tahoma" w:hAnsi="Tahoma" w:cs="Tahoma" w:hint="cs"/>
          <w:sz w:val="20"/>
          <w:szCs w:val="20"/>
          <w:cs/>
        </w:rPr>
        <w:t>หากไม่สามารถยุติข้อพิพาทได้ด้วยวิธีการไกล่เกลี่ยภายใน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[</w:t>
      </w:r>
      <w:r w:rsidRPr="0071365E">
        <w:rPr>
          <w:rFonts w:ascii="Montserrat" w:hAnsi="Montserrat" w:cstheme="majorBidi"/>
          <w:sz w:val="20"/>
          <w:szCs w:val="20"/>
        </w:rPr>
        <w:t>14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]</w:t>
      </w:r>
      <w:r w:rsidRPr="0071365E">
        <w:rPr>
          <w:rFonts w:ascii="Montserrat" w:hAnsi="Montserrat" w:cstheme="majorBidi"/>
          <w:sz w:val="20"/>
          <w:szCs w:val="20"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วัน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นับตั้งแต่วันที่เริ่มต้นการไกล่เกลี่ย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หรือภายในเวลาที่ขยายออกไปจากระยะเวลาดังกล่าวตามที่คู่สัญญาทั้งสองฝ่ายอาจตกลงร่วมกันเป็นลายลักษณ์อักษร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 </w:t>
      </w:r>
      <w:r w:rsidRPr="0071365E">
        <w:rPr>
          <w:rFonts w:ascii="Tahoma" w:hAnsi="Tahoma" w:cs="Tahoma" w:hint="cs"/>
          <w:sz w:val="20"/>
          <w:szCs w:val="20"/>
          <w:cs/>
        </w:rPr>
        <w:t>ข้อพิพาทจะถูกส่งไปพิจารณาและมีมติในท้ายที่สุดด้วยวิธีการอนุญาโตตุลากร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Montserrat" w:hAnsi="Montserrat" w:cs="Angsana New"/>
          <w:sz w:val="20"/>
          <w:szCs w:val="20"/>
          <w:cs/>
        </w:rPr>
        <w:t xml:space="preserve"> ศูนย์การระงับข้อพิพาทแบบมีประสิทธิภาพ</w:t>
      </w:r>
      <w:r w:rsidRPr="0071365E">
        <w:rPr>
          <w:rFonts w:ascii="Tahoma" w:hAnsi="Tahoma" w:cs="Tahoma" w:hint="cs"/>
          <w:sz w:val="20"/>
          <w:szCs w:val="20"/>
          <w:cs/>
        </w:rPr>
        <w:t>จะเป็นผู้ดำเนินการแต่งตั้งองค์คณะและผู้ดำเนินการอนุญาโตตุลาการ</w:t>
      </w:r>
    </w:p>
    <w:p w14:paraId="58627985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/>
          <w:sz w:val="20"/>
          <w:szCs w:val="20"/>
        </w:rPr>
      </w:pPr>
      <w:r w:rsidRPr="0071365E">
        <w:rPr>
          <w:rFonts w:ascii="Montserrat" w:hAnsi="Montserrat" w:cs="Angsana New"/>
          <w:sz w:val="20"/>
          <w:szCs w:val="20"/>
          <w:cs/>
        </w:rPr>
        <w:t>ศูนย์การระงับข้อพิพาทแบบมีประสิทธิภาพ</w:t>
      </w:r>
      <w:r w:rsidRPr="0071365E">
        <w:rPr>
          <w:rFonts w:ascii="Tahoma" w:hAnsi="Tahoma" w:cs="Tahoma" w:hint="cs"/>
          <w:sz w:val="20"/>
          <w:szCs w:val="20"/>
          <w:cs/>
        </w:rPr>
        <w:t>จะนำกฎ</w:t>
      </w:r>
      <w:r w:rsidRPr="0071365E">
        <w:rPr>
          <w:rFonts w:ascii="Montserrat" w:hAnsi="Montserrat" w:cs="Angsana New"/>
          <w:sz w:val="20"/>
          <w:szCs w:val="20"/>
          <w:cs/>
        </w:rPr>
        <w:t>ของกรรมาธิการกฎหมายการค้าระหว่างประเทศแห่งสหประชาชาติที่บังคับใช้อยู่ในขณะที่</w:t>
      </w:r>
      <w:r w:rsidRPr="0071365E">
        <w:rPr>
          <w:rFonts w:ascii="Tahoma" w:hAnsi="Tahoma" w:cs="Tahoma" w:hint="cs"/>
          <w:sz w:val="20"/>
          <w:szCs w:val="20"/>
          <w:cs/>
        </w:rPr>
        <w:t>เริ่มกระบวนการอนุญาโตตุลาการมาใช้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ในการอนุญาโตตุลาการใดๆ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ที่ได้เริ่มต้นขึ้นตามข้อกำหนดนี้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จะต้องมีอนุญาโตตุลาการจำนวน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 xml:space="preserve">[1-3] </w:t>
      </w:r>
      <w:r w:rsidRPr="0071365E">
        <w:rPr>
          <w:rFonts w:ascii="Tahoma" w:hAnsi="Tahoma" w:cs="Tahoma" w:hint="cs"/>
          <w:sz w:val="20"/>
          <w:szCs w:val="20"/>
          <w:cs/>
        </w:rPr>
        <w:t>คน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และที่ตั้งหรือสถานที่ๆ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ดำเนินการอนุญาโตตุลาการตามกฎหมายจะกระทำกัน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ณ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[</w:t>
      </w:r>
      <w:r w:rsidRPr="0071365E">
        <w:rPr>
          <w:rFonts w:ascii="Tahoma" w:hAnsi="Tahoma" w:cs="Tahoma" w:hint="cs"/>
          <w:sz w:val="20"/>
          <w:szCs w:val="20"/>
          <w:cs/>
        </w:rPr>
        <w:t>กรุงลอนดอน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ประเทศอังกฤษ</w:t>
      </w:r>
      <w:r w:rsidRPr="0071365E">
        <w:rPr>
          <w:rFonts w:ascii="Montserrat" w:hAnsi="Montserrat" w:cs="Humanist777BT-LightB"/>
          <w:sz w:val="20"/>
          <w:szCs w:val="20"/>
          <w:lang w:eastAsia="en-GB"/>
        </w:rPr>
        <w:t>]</w:t>
      </w:r>
      <w:r w:rsidRPr="0071365E">
        <w:rPr>
          <w:rFonts w:ascii="Montserrat" w:hAnsi="Montserrat"/>
          <w:sz w:val="20"/>
          <w:szCs w:val="20"/>
          <w:cs/>
          <w:lang w:eastAsia="en-GB"/>
        </w:rPr>
        <w:t>”</w:t>
      </w:r>
    </w:p>
    <w:p w14:paraId="54DCD402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 w:cstheme="majorBidi"/>
          <w:sz w:val="20"/>
          <w:szCs w:val="20"/>
        </w:rPr>
      </w:pPr>
    </w:p>
    <w:p w14:paraId="36BE31C2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 w:cstheme="majorBidi"/>
          <w:b/>
          <w:bCs/>
          <w:color w:val="4472C4" w:themeColor="accent1"/>
          <w:sz w:val="20"/>
          <w:szCs w:val="20"/>
        </w:rPr>
      </w:pPr>
      <w:r w:rsidRPr="0071365E">
        <w:rPr>
          <w:rFonts w:ascii="Tahoma" w:hAnsi="Tahoma" w:cs="Tahoma" w:hint="cs"/>
          <w:b/>
          <w:bCs/>
          <w:color w:val="4472C4" w:themeColor="accent1"/>
          <w:sz w:val="20"/>
          <w:szCs w:val="20"/>
          <w:cs/>
        </w:rPr>
        <w:t>หมายเหตุ</w:t>
      </w:r>
    </w:p>
    <w:p w14:paraId="3987C1EF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 w:cstheme="majorBidi"/>
          <w:sz w:val="20"/>
          <w:szCs w:val="20"/>
        </w:rPr>
      </w:pPr>
      <w:r w:rsidRPr="0071365E">
        <w:rPr>
          <w:rFonts w:ascii="Tahoma" w:hAnsi="Tahoma" w:cs="Tahoma" w:hint="cs"/>
          <w:sz w:val="20"/>
          <w:szCs w:val="20"/>
          <w:cs/>
        </w:rPr>
        <w:t>รูปแบบข้อกำหนดนี้เหมาะสมกับการทำสัญญาระหว่างประเทศ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กล่าวคือสัญญาระหว่างคู่สัญญาที่อยู่ในขอบเขตอำนาจศาลที่แตกต่างกัน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แต่ควรดำเนินการพิจารณาที่รวมถึงข้อกำหนดต่างๆ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ที่เกี่ยวข้องกับสถานที่ตั้ง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หรือภาษาที่ใช้ในการดำเนินการไกล่เกลี่ย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รวมถึงกฎหมายที่ใช้บังคับและอำนาจศาลที่ใช้ในข้อตกลงการไกล่เกลี่ยตามข้อความในบรรทัดนี้ด้วย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 </w:t>
      </w:r>
      <w:r w:rsidRPr="0071365E">
        <w:rPr>
          <w:rFonts w:ascii="Tahoma" w:hAnsi="Tahoma" w:cs="Tahoma" w:hint="cs"/>
          <w:sz w:val="20"/>
          <w:szCs w:val="20"/>
          <w:cs/>
        </w:rPr>
        <w:t>ข้อตกลงนี้อ้างถึงอนุญาโตตุลาการภายใต้การสนับสนุนของ</w:t>
      </w:r>
      <w:r w:rsidRPr="0071365E">
        <w:rPr>
          <w:rFonts w:ascii="Montserrat" w:hAnsi="Montserrat" w:cs="Angsana New"/>
          <w:sz w:val="20"/>
          <w:szCs w:val="20"/>
          <w:cs/>
        </w:rPr>
        <w:t>ศูนย์การระงับข้อพิพาทแบบมีประสิทธิภาพ</w:t>
      </w:r>
      <w:r w:rsidRPr="0071365E">
        <w:rPr>
          <w:rFonts w:ascii="Tahoma" w:hAnsi="Tahoma" w:cs="Tahoma" w:hint="cs"/>
          <w:sz w:val="20"/>
          <w:szCs w:val="20"/>
          <w:cs/>
        </w:rPr>
        <w:t>หากการไกล่เกลี่ยไม่สามารถแก้ไขข้อพิพาทได้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แต่สถาบันอนุญาโตตุลาการแห่งอื่น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และกฎเกณฑ์ของสถาบันนั้น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อาจนำมาซึ่งความตกลงของคู่สัญญาทั้งสองฝ่าย</w:t>
      </w:r>
    </w:p>
    <w:p w14:paraId="2827BB3A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 w:cstheme="majorBidi"/>
          <w:sz w:val="20"/>
          <w:szCs w:val="20"/>
        </w:rPr>
      </w:pPr>
    </w:p>
    <w:p w14:paraId="17466BE7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 w:cs="Angsana New"/>
          <w:sz w:val="20"/>
          <w:szCs w:val="20"/>
          <w:cs/>
        </w:rPr>
      </w:pPr>
      <w:r w:rsidRPr="0071365E">
        <w:rPr>
          <w:rFonts w:ascii="Tahoma" w:hAnsi="Tahoma" w:cs="Tahoma" w:hint="cs"/>
          <w:sz w:val="20"/>
          <w:szCs w:val="20"/>
          <w:cs/>
        </w:rPr>
        <w:lastRenderedPageBreak/>
        <w:t>ข้อกำหนดนี้สามารถแก้ไขเพิ่มเติมและอ้างอิงถึง</w:t>
      </w:r>
      <w:r w:rsidRPr="0071365E">
        <w:rPr>
          <w:rFonts w:ascii="Montserrat" w:hAnsi="Montserrat" w:cs="Angsana New"/>
          <w:sz w:val="20"/>
          <w:szCs w:val="20"/>
          <w:cs/>
        </w:rPr>
        <w:t>ศูนย์การระงับข้อพิพาทแบบมีประสิทธิภาพ ณ กรุงลอนดอน หากผู้ร่างเชื่อมั่นว่าการแก้ไขเพิ่มเติมดังกล่าวจะระบุการค้นหาศูนย์การระงับข้อพิพาทแบบมีประสิทธิภาพสำหรับคู่สัญญาระหว่างประเทศได้ชัดเจนยิ่งขึ้น</w:t>
      </w:r>
    </w:p>
    <w:p w14:paraId="03A62981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 w:cstheme="majorBidi"/>
          <w:sz w:val="20"/>
          <w:szCs w:val="20"/>
        </w:rPr>
      </w:pPr>
    </w:p>
    <w:p w14:paraId="1892F044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 w:cstheme="majorBidi"/>
          <w:sz w:val="20"/>
          <w:szCs w:val="20"/>
          <w:cs/>
        </w:rPr>
      </w:pPr>
      <w:r w:rsidRPr="0071365E">
        <w:rPr>
          <w:rFonts w:ascii="Tahoma" w:hAnsi="Tahoma" w:cs="Tahoma" w:hint="cs"/>
          <w:sz w:val="20"/>
          <w:szCs w:val="20"/>
          <w:cs/>
        </w:rPr>
        <w:t>หากต้องการทราบข้อมูลเพิ่มเติม</w:t>
      </w:r>
      <w:r w:rsidRPr="0071365E">
        <w:rPr>
          <w:rFonts w:ascii="Montserrat" w:hAnsi="Montserrat" w:cstheme="majorBidi"/>
          <w:sz w:val="20"/>
          <w:szCs w:val="20"/>
          <w:cs/>
        </w:rPr>
        <w:t xml:space="preserve"> </w:t>
      </w:r>
      <w:r w:rsidRPr="0071365E">
        <w:rPr>
          <w:rFonts w:ascii="Tahoma" w:hAnsi="Tahoma" w:cs="Tahoma" w:hint="cs"/>
          <w:sz w:val="20"/>
          <w:szCs w:val="20"/>
          <w:cs/>
        </w:rPr>
        <w:t>โปรดเข้าไปดูรูปแบบข้อกำหนดการระงับข้อพิพาททางเลือกของ</w:t>
      </w:r>
      <w:r w:rsidRPr="0071365E">
        <w:rPr>
          <w:rFonts w:ascii="Montserrat" w:hAnsi="Montserrat" w:cs="Angsana New"/>
          <w:sz w:val="20"/>
          <w:szCs w:val="20"/>
          <w:cs/>
        </w:rPr>
        <w:t>ศูนย์การระงับข้อพิพาทแบบมีประสิทธิภาพ</w:t>
      </w:r>
      <w:r w:rsidRPr="0071365E">
        <w:rPr>
          <w:rFonts w:ascii="Tahoma" w:hAnsi="Tahoma" w:cs="Tahoma" w:hint="cs"/>
          <w:sz w:val="20"/>
          <w:szCs w:val="20"/>
          <w:cs/>
        </w:rPr>
        <w:t>ที่</w:t>
      </w:r>
    </w:p>
    <w:p w14:paraId="58180F3C" w14:textId="77777777" w:rsidR="0071365E" w:rsidRPr="0071365E" w:rsidRDefault="0071365E" w:rsidP="0071365E">
      <w:pPr>
        <w:spacing w:after="0" w:line="380" w:lineRule="exact"/>
        <w:ind w:right="-188"/>
        <w:rPr>
          <w:rFonts w:ascii="Montserrat" w:hAnsi="Montserrat" w:cstheme="majorBidi"/>
          <w:sz w:val="20"/>
          <w:szCs w:val="20"/>
        </w:rPr>
      </w:pPr>
      <w:hyperlink r:id="rId8" w:history="1">
        <w:r w:rsidRPr="0071365E">
          <w:rPr>
            <w:rStyle w:val="Hyperlink"/>
            <w:rFonts w:ascii="Montserrat" w:hAnsi="Montserrat" w:cstheme="majorBidi"/>
            <w:sz w:val="20"/>
            <w:szCs w:val="20"/>
          </w:rPr>
          <w:t>http://www.cedr.com/about_us/modeldocs/</w:t>
        </w:r>
      </w:hyperlink>
    </w:p>
    <w:p w14:paraId="2E0D42EB" w14:textId="77777777" w:rsidR="0071365E" w:rsidRPr="0071365E" w:rsidRDefault="0071365E" w:rsidP="0071365E">
      <w:pPr>
        <w:pStyle w:val="FreeForm"/>
        <w:spacing w:line="200" w:lineRule="atLeast"/>
        <w:rPr>
          <w:rFonts w:ascii="Montserrat" w:hAnsi="Montserrat"/>
          <w:sz w:val="28"/>
          <w:szCs w:val="28"/>
        </w:rPr>
      </w:pPr>
    </w:p>
    <w:p w14:paraId="2E189D5E" w14:textId="77777777" w:rsidR="0071365E" w:rsidRPr="0071365E" w:rsidRDefault="0071365E" w:rsidP="0071365E">
      <w:pPr>
        <w:rPr>
          <w:rFonts w:ascii="Montserrat" w:hAnsi="Montserrat"/>
        </w:rPr>
      </w:pPr>
    </w:p>
    <w:sectPr w:rsidR="0071365E" w:rsidRPr="0071365E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71365E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71365E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71365E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74C5F"/>
    <w:rsid w:val="00877D33"/>
    <w:rsid w:val="008D154F"/>
    <w:rsid w:val="00BF2C32"/>
    <w:rsid w:val="00CB6D22"/>
    <w:rsid w:val="00CE3373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5DDF-59C9-47D3-AA38-31D92838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2019-09-10T12:23:00Z</dcterms:created>
  <dcterms:modified xsi:type="dcterms:W3CDTF">2019-09-10T12:23:00Z</dcterms:modified>
</cp:coreProperties>
</file>