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441B8EA7" w:rsidR="007829DE" w:rsidRDefault="000150AC" w:rsidP="00446E66">
      <w:pPr>
        <w:jc w:val="right"/>
      </w:pPr>
      <w:r>
        <w:rPr>
          <w:noProof/>
        </w:rPr>
        <w:pict w14:anchorId="18565C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55pt;margin-top:-6.35pt;width:222.65pt;height:167.6pt;z-index:251659264;mso-position-horizontal-relative:text;mso-position-vertical-relative:text;mso-width-relative:page;mso-height-relative:page">
            <v:imagedata r:id="rId9" o:title="Claudia-Caluori_0"/>
            <w10:wrap type="square"/>
          </v:shape>
        </w:pict>
      </w:r>
    </w:p>
    <w:p w14:paraId="4127BA1F" w14:textId="5D2E7B99" w:rsidR="008823B9" w:rsidRDefault="000150AC" w:rsidP="00446E66">
      <w:pPr>
        <w:jc w:val="right"/>
        <w:rPr>
          <w:b/>
          <w:bCs/>
          <w:lang w:val="en-US"/>
        </w:rPr>
      </w:pPr>
      <w:r>
        <w:rPr>
          <w:b/>
          <w:bCs/>
          <w:lang w:val="en-US"/>
        </w:rPr>
        <w:t xml:space="preserve">Claudia </w:t>
      </w:r>
      <w:proofErr w:type="spellStart"/>
      <w:r>
        <w:rPr>
          <w:b/>
          <w:bCs/>
          <w:lang w:val="en-US"/>
        </w:rPr>
        <w:t>Caluori</w:t>
      </w:r>
      <w:proofErr w:type="spellEnd"/>
    </w:p>
    <w:p w14:paraId="3E2BB38C" w14:textId="2C1C1CA4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>
        <w:rPr>
          <w:bCs/>
          <w:lang w:val="lv-LV"/>
        </w:rPr>
        <w:t>2020</w:t>
      </w:r>
    </w:p>
    <w:p w14:paraId="4A647AEF" w14:textId="236ABAA6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 xml:space="preserve">Languages: English, </w:t>
      </w:r>
      <w:r w:rsidR="000150AC">
        <w:rPr>
          <w:bCs/>
          <w:lang w:val="lv-LV"/>
        </w:rPr>
        <w:t>Italian, Arabic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644B13F6" w14:textId="77777777" w:rsidR="008C3A98" w:rsidRDefault="008C3A98" w:rsidP="00446E66">
      <w:pPr>
        <w:jc w:val="both"/>
        <w:rPr>
          <w:bCs/>
          <w:lang w:val="lv-LV"/>
        </w:rPr>
      </w:pPr>
    </w:p>
    <w:p w14:paraId="2F49A2EE" w14:textId="77777777" w:rsidR="008C3A98" w:rsidRDefault="008C3A98" w:rsidP="00446E66">
      <w:pPr>
        <w:jc w:val="both"/>
        <w:rPr>
          <w:bCs/>
          <w:lang w:val="lv-LV"/>
        </w:rPr>
      </w:pPr>
    </w:p>
    <w:p w14:paraId="05BED78C" w14:textId="77777777" w:rsidR="008823B9" w:rsidRDefault="008823B9" w:rsidP="00446E66">
      <w:pPr>
        <w:jc w:val="both"/>
        <w:rPr>
          <w:bCs/>
          <w:lang w:val="lv-LV"/>
        </w:rPr>
      </w:pPr>
    </w:p>
    <w:p w14:paraId="78752658" w14:textId="77777777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23063BF5" w14:textId="77777777" w:rsidR="000150AC" w:rsidRPr="000150AC" w:rsidRDefault="000150AC" w:rsidP="000150AC">
      <w:pPr>
        <w:jc w:val="both"/>
        <w:rPr>
          <w:bCs/>
          <w:lang w:val="en-US"/>
        </w:rPr>
      </w:pPr>
      <w:r w:rsidRPr="000150AC">
        <w:rPr>
          <w:bCs/>
          <w:lang w:val="en-US"/>
        </w:rPr>
        <w:t xml:space="preserve">Outgoing Italian and international attorney and mediator with over 5 years of participation in conflict resolution programs, conducting and counseling clients in mediation, supporting trainings in Italy and the UK, displaying the utmost level of professionalism, commitment, and enthusiasm. </w:t>
      </w:r>
      <w:proofErr w:type="gramStart"/>
      <w:r w:rsidRPr="000150AC">
        <w:rPr>
          <w:bCs/>
          <w:lang w:val="en-US"/>
        </w:rPr>
        <w:t>Practiced law since 2010 in the international business development fields, focusing on commercial transactions and legal strategies.</w:t>
      </w:r>
      <w:proofErr w:type="gramEnd"/>
    </w:p>
    <w:p w14:paraId="4136F0B5" w14:textId="77777777" w:rsidR="000150AC" w:rsidRPr="000150AC" w:rsidRDefault="000150AC" w:rsidP="000150AC">
      <w:pPr>
        <w:jc w:val="both"/>
        <w:rPr>
          <w:bCs/>
          <w:lang w:val="en-US"/>
        </w:rPr>
      </w:pPr>
      <w:proofErr w:type="gramStart"/>
      <w:r w:rsidRPr="000150AC">
        <w:rPr>
          <w:bCs/>
          <w:lang w:val="en-US"/>
        </w:rPr>
        <w:t>Mediation and ADR Believer.</w:t>
      </w:r>
      <w:proofErr w:type="gramEnd"/>
      <w:r w:rsidRPr="000150AC">
        <w:rPr>
          <w:bCs/>
          <w:lang w:val="en-US"/>
        </w:rPr>
        <w:t xml:space="preserve"> </w:t>
      </w:r>
      <w:proofErr w:type="gramStart"/>
      <w:r w:rsidRPr="000150AC">
        <w:rPr>
          <w:bCs/>
          <w:lang w:val="en-US"/>
        </w:rPr>
        <w:t>Holder of qualifications as Mediator from Italy, Lebanon and France.</w:t>
      </w:r>
      <w:proofErr w:type="gramEnd"/>
      <w:r w:rsidRPr="000150AC">
        <w:rPr>
          <w:bCs/>
          <w:lang w:val="en-US"/>
        </w:rPr>
        <w:t xml:space="preserve"> </w:t>
      </w:r>
      <w:proofErr w:type="gramStart"/>
      <w:r w:rsidRPr="000150AC">
        <w:rPr>
          <w:bCs/>
          <w:lang w:val="en-US"/>
        </w:rPr>
        <w:t>Passionate for travels, languages, hiking, and live music.</w:t>
      </w:r>
      <w:proofErr w:type="gramEnd"/>
      <w:r w:rsidRPr="000150AC">
        <w:rPr>
          <w:bCs/>
          <w:lang w:val="en-US"/>
        </w:rPr>
        <w:t xml:space="preserve"> </w:t>
      </w:r>
      <w:proofErr w:type="gramStart"/>
      <w:r w:rsidRPr="000150AC">
        <w:rPr>
          <w:bCs/>
          <w:lang w:val="en-US"/>
        </w:rPr>
        <w:t>Fluent in Italian, English, and French.</w:t>
      </w:r>
      <w:proofErr w:type="gramEnd"/>
    </w:p>
    <w:p w14:paraId="7A97E8C8" w14:textId="77777777" w:rsidR="008823B9" w:rsidRDefault="008823B9" w:rsidP="008823B9">
      <w:pPr>
        <w:jc w:val="both"/>
        <w:rPr>
          <w:bCs/>
        </w:rPr>
      </w:pPr>
    </w:p>
    <w:p w14:paraId="07FCA0FE" w14:textId="0FCC5AD3" w:rsidR="008C3A98" w:rsidRPr="00C175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Dispute resolution experience</w:t>
      </w:r>
    </w:p>
    <w:p w14:paraId="38BDDE91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lang w:bidi="en-US"/>
        </w:rPr>
      </w:pPr>
      <w:r w:rsidRPr="000150AC">
        <w:rPr>
          <w:b/>
          <w:bCs/>
          <w:lang w:bidi="en-US"/>
        </w:rPr>
        <w:t xml:space="preserve">Participated as the ICC International Commercial Mediation Competition in Paris </w:t>
      </w:r>
      <w:r w:rsidRPr="000150AC">
        <w:rPr>
          <w:lang w:bidi="en-US"/>
        </w:rPr>
        <w:t>(as volunteer the first year, and as judge professional), 2017 – 2020</w:t>
      </w:r>
    </w:p>
    <w:p w14:paraId="6710290E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bCs/>
          <w:lang w:val="en-US"/>
        </w:rPr>
      </w:pPr>
      <w:r w:rsidRPr="000150AC">
        <w:rPr>
          <w:b/>
          <w:lang w:val="en-US"/>
        </w:rPr>
        <w:t xml:space="preserve">Visiting Lecturer </w:t>
      </w:r>
      <w:r w:rsidRPr="000150AC">
        <w:rPr>
          <w:bCs/>
          <w:lang w:val="en-US"/>
        </w:rPr>
        <w:t xml:space="preserve">at Business School, University of </w:t>
      </w:r>
      <w:proofErr w:type="spellStart"/>
      <w:r w:rsidRPr="000150AC">
        <w:rPr>
          <w:bCs/>
          <w:lang w:val="en-US"/>
        </w:rPr>
        <w:t>Salford</w:t>
      </w:r>
      <w:proofErr w:type="spellEnd"/>
      <w:r w:rsidRPr="000150AC">
        <w:rPr>
          <w:bCs/>
          <w:lang w:val="en-US"/>
        </w:rPr>
        <w:t xml:space="preserve"> (UK) delivered the module on</w:t>
      </w:r>
      <w:r w:rsidRPr="000150AC">
        <w:rPr>
          <w:b/>
          <w:lang w:val="en-US"/>
        </w:rPr>
        <w:t xml:space="preserve"> </w:t>
      </w:r>
      <w:r w:rsidRPr="000150AC">
        <w:rPr>
          <w:bCs/>
          <w:i/>
          <w:iCs/>
          <w:lang w:val="en-US"/>
        </w:rPr>
        <w:t>ADR and Investor-State Disputes</w:t>
      </w:r>
      <w:r w:rsidRPr="000150AC">
        <w:rPr>
          <w:bCs/>
          <w:lang w:val="en-US"/>
        </w:rPr>
        <w:t xml:space="preserve"> in the LLM module “Advanced Contract Law and Negotiation”, 2017-2019</w:t>
      </w:r>
    </w:p>
    <w:p w14:paraId="7203E9C1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b/>
          <w:bCs/>
          <w:lang w:val="en-US"/>
        </w:rPr>
      </w:pPr>
      <w:r w:rsidRPr="000150AC">
        <w:rPr>
          <w:b/>
          <w:bCs/>
          <w:lang w:val="en-US"/>
        </w:rPr>
        <w:t xml:space="preserve">Trainer in Mediation - Accredited by ADR ODR International Inc., London (UK), </w:t>
      </w:r>
      <w:r w:rsidRPr="000150AC">
        <w:rPr>
          <w:lang w:val="en-US"/>
        </w:rPr>
        <w:t>Supported 40-hour mediation courses in the UK and assisted the simulations of the delegates giving individual and personal feedbacks, 2017-2018</w:t>
      </w:r>
    </w:p>
    <w:p w14:paraId="1B2B91FE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lang w:val="en-US"/>
        </w:rPr>
      </w:pPr>
      <w:r w:rsidRPr="000150AC">
        <w:rPr>
          <w:b/>
          <w:bCs/>
          <w:lang w:val="en-US"/>
        </w:rPr>
        <w:t xml:space="preserve">Legal Counsel </w:t>
      </w:r>
      <w:r w:rsidRPr="000150AC">
        <w:rPr>
          <w:lang w:val="en-US"/>
        </w:rPr>
        <w:t>in a construction arbitration based in Dubai, UAE, assisting the Respondent, 2019</w:t>
      </w:r>
    </w:p>
    <w:p w14:paraId="718C80EE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bCs/>
          <w:lang w:val="en-US"/>
        </w:rPr>
      </w:pPr>
      <w:r w:rsidRPr="000150AC">
        <w:rPr>
          <w:b/>
          <w:bCs/>
          <w:lang w:val="en-US"/>
        </w:rPr>
        <w:t xml:space="preserve">Case Manager and Mediator </w:t>
      </w:r>
      <w:r w:rsidRPr="000150AC">
        <w:rPr>
          <w:lang w:val="en-US"/>
        </w:rPr>
        <w:t>at Latium Regional Committee and Latium Regional Committee (</w:t>
      </w:r>
      <w:proofErr w:type="spellStart"/>
      <w:r w:rsidRPr="000150AC">
        <w:rPr>
          <w:lang w:val="en-US"/>
        </w:rPr>
        <w:t>CoReCom</w:t>
      </w:r>
      <w:proofErr w:type="spellEnd"/>
      <w:r w:rsidRPr="000150AC">
        <w:rPr>
          <w:lang w:val="en-US"/>
        </w:rPr>
        <w:t xml:space="preserve">), involved in telecommunication disputes B2B and C2B, involving </w:t>
      </w:r>
      <w:r w:rsidRPr="000150AC">
        <w:rPr>
          <w:bCs/>
          <w:lang w:val="en-US"/>
        </w:rPr>
        <w:t>breach of contract, indemnifications, damages, and specific performance, 2016</w:t>
      </w:r>
    </w:p>
    <w:p w14:paraId="363B2B7D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lang w:val="en-US"/>
        </w:rPr>
      </w:pPr>
      <w:r w:rsidRPr="000150AC">
        <w:rPr>
          <w:b/>
          <w:bCs/>
          <w:lang w:val="en-US"/>
        </w:rPr>
        <w:t xml:space="preserve">Mediator </w:t>
      </w:r>
      <w:r w:rsidRPr="000150AC">
        <w:rPr>
          <w:lang w:val="en-US"/>
        </w:rPr>
        <w:t>at Tuscany Regional Committee (</w:t>
      </w:r>
      <w:proofErr w:type="spellStart"/>
      <w:r w:rsidRPr="000150AC">
        <w:rPr>
          <w:lang w:val="en-US"/>
        </w:rPr>
        <w:t>CoReCom</w:t>
      </w:r>
      <w:proofErr w:type="spellEnd"/>
      <w:r w:rsidRPr="000150AC">
        <w:rPr>
          <w:lang w:val="en-US"/>
        </w:rPr>
        <w:t>) telecommunication disputes B2B, C2B, telecommunication disputes B2B and C2B, 2015-2016</w:t>
      </w:r>
    </w:p>
    <w:p w14:paraId="17002C29" w14:textId="77777777" w:rsidR="000150AC" w:rsidRPr="000150AC" w:rsidRDefault="000150AC" w:rsidP="000150AC">
      <w:pPr>
        <w:numPr>
          <w:ilvl w:val="0"/>
          <w:numId w:val="10"/>
        </w:numPr>
        <w:jc w:val="both"/>
        <w:rPr>
          <w:lang w:val="en-US"/>
        </w:rPr>
      </w:pPr>
      <w:r w:rsidRPr="000150AC">
        <w:rPr>
          <w:b/>
          <w:lang w:val="en-US"/>
        </w:rPr>
        <w:t xml:space="preserve">Legal Clerk </w:t>
      </w:r>
      <w:r w:rsidRPr="000150AC">
        <w:rPr>
          <w:bCs/>
          <w:lang w:val="en-US"/>
        </w:rPr>
        <w:t xml:space="preserve">at Studio </w:t>
      </w:r>
      <w:proofErr w:type="spellStart"/>
      <w:r w:rsidRPr="000150AC">
        <w:rPr>
          <w:bCs/>
          <w:lang w:val="en-US"/>
        </w:rPr>
        <w:t>dell’Avvocato</w:t>
      </w:r>
      <w:proofErr w:type="spellEnd"/>
      <w:r w:rsidRPr="000150AC">
        <w:rPr>
          <w:bCs/>
          <w:lang w:val="en-US"/>
        </w:rPr>
        <w:t xml:space="preserve"> </w:t>
      </w:r>
      <w:proofErr w:type="spellStart"/>
      <w:r w:rsidRPr="000150AC">
        <w:rPr>
          <w:bCs/>
          <w:lang w:val="en-US"/>
        </w:rPr>
        <w:t>Antich</w:t>
      </w:r>
      <w:proofErr w:type="spellEnd"/>
      <w:r w:rsidRPr="000150AC">
        <w:rPr>
          <w:lang w:val="en-US"/>
        </w:rPr>
        <w:t xml:space="preserve"> – Law Firm, Assistance in the organization of courses for new mediators as well as professional; preparation of working material for delegates, 2015-2016</w:t>
      </w:r>
    </w:p>
    <w:p w14:paraId="7DC5B9CC" w14:textId="77777777" w:rsidR="000150AC" w:rsidRDefault="000150AC" w:rsidP="00446E66">
      <w:pPr>
        <w:jc w:val="both"/>
        <w:rPr>
          <w:b/>
          <w:bCs/>
          <w:sz w:val="26"/>
          <w:lang w:val="lv-LV"/>
        </w:rPr>
      </w:pPr>
    </w:p>
    <w:p w14:paraId="01B8EE18" w14:textId="0ED8DB48" w:rsidR="008C3A98" w:rsidRPr="00C175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lastRenderedPageBreak/>
        <w:t>Professional background</w:t>
      </w:r>
    </w:p>
    <w:p w14:paraId="7D3CE0F4" w14:textId="69C676BA" w:rsidR="000150AC" w:rsidRPr="000150AC" w:rsidRDefault="000150AC" w:rsidP="000150AC">
      <w:pPr>
        <w:jc w:val="both"/>
        <w:rPr>
          <w:bCs/>
          <w:iCs/>
          <w:lang w:bidi="en-US"/>
        </w:rPr>
      </w:pPr>
      <w:r w:rsidRPr="000150AC">
        <w:rPr>
          <w:b/>
          <w:bCs/>
          <w:lang w:bidi="en-US"/>
        </w:rPr>
        <w:t>Gen 2019 – up to date Of Counsel | Marketing Manager –</w:t>
      </w:r>
      <w:r w:rsidRPr="000150AC">
        <w:rPr>
          <w:bCs/>
          <w:lang w:bidi="en-US"/>
        </w:rPr>
        <w:t xml:space="preserve"> </w:t>
      </w:r>
      <w:proofErr w:type="spellStart"/>
      <w:r w:rsidRPr="000150AC">
        <w:rPr>
          <w:bCs/>
          <w:i/>
          <w:lang w:bidi="en-US"/>
        </w:rPr>
        <w:t>Eptalex</w:t>
      </w:r>
      <w:proofErr w:type="spellEnd"/>
      <w:r w:rsidRPr="000150AC">
        <w:rPr>
          <w:bCs/>
          <w:i/>
          <w:lang w:bidi="en-US"/>
        </w:rPr>
        <w:t xml:space="preserve"> </w:t>
      </w:r>
      <w:proofErr w:type="spellStart"/>
      <w:r w:rsidRPr="000150AC">
        <w:rPr>
          <w:bCs/>
          <w:i/>
          <w:lang w:bidi="en-US"/>
        </w:rPr>
        <w:t>Garzia</w:t>
      </w:r>
      <w:proofErr w:type="spellEnd"/>
      <w:r w:rsidRPr="000150AC">
        <w:rPr>
          <w:bCs/>
          <w:i/>
          <w:lang w:bidi="en-US"/>
        </w:rPr>
        <w:t xml:space="preserve"> </w:t>
      </w:r>
      <w:proofErr w:type="spellStart"/>
      <w:r w:rsidRPr="000150AC">
        <w:rPr>
          <w:bCs/>
          <w:i/>
          <w:lang w:bidi="en-US"/>
        </w:rPr>
        <w:t>Gasperi</w:t>
      </w:r>
      <w:proofErr w:type="spellEnd"/>
      <w:r w:rsidRPr="000150AC">
        <w:rPr>
          <w:bCs/>
          <w:i/>
          <w:lang w:bidi="en-US"/>
        </w:rPr>
        <w:t xml:space="preserve"> &amp; Partners,</w:t>
      </w:r>
      <w:r w:rsidRPr="000150AC">
        <w:rPr>
          <w:bCs/>
          <w:iCs/>
          <w:lang w:bidi="en-US"/>
        </w:rPr>
        <w:t xml:space="preserve"> Milan (IT)</w:t>
      </w:r>
      <w:r w:rsidRPr="000150AC">
        <w:rPr>
          <w:bCs/>
          <w:i/>
          <w:lang w:bidi="en-US"/>
        </w:rPr>
        <w:t xml:space="preserve"> </w:t>
      </w:r>
      <w:r w:rsidRPr="000150AC">
        <w:rPr>
          <w:bCs/>
          <w:iCs/>
          <w:lang w:bidi="en-US"/>
        </w:rPr>
        <w:tab/>
      </w:r>
      <w:r w:rsidRPr="000150AC">
        <w:rPr>
          <w:bCs/>
          <w:iCs/>
          <w:lang w:bidi="en-US"/>
        </w:rPr>
        <w:tab/>
      </w:r>
      <w:r w:rsidRPr="000150AC">
        <w:rPr>
          <w:bCs/>
          <w:iCs/>
          <w:lang w:bidi="en-US"/>
        </w:rPr>
        <w:tab/>
      </w:r>
    </w:p>
    <w:p w14:paraId="3E023CE8" w14:textId="46611663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 xml:space="preserve">Nov 2017 – Aug 2019 Visiting Lecturer </w:t>
      </w:r>
      <w:r w:rsidRPr="000150AC">
        <w:rPr>
          <w:bCs/>
          <w:lang w:bidi="en-US"/>
        </w:rPr>
        <w:t xml:space="preserve">– Business School, </w:t>
      </w:r>
      <w:r w:rsidRPr="000150AC">
        <w:rPr>
          <w:bCs/>
          <w:i/>
          <w:lang w:bidi="en-US"/>
        </w:rPr>
        <w:t xml:space="preserve">University of Salford </w:t>
      </w:r>
      <w:r w:rsidRPr="000150AC">
        <w:rPr>
          <w:bCs/>
          <w:lang w:bidi="en-US"/>
        </w:rPr>
        <w:t xml:space="preserve">(UK) </w:t>
      </w:r>
    </w:p>
    <w:p w14:paraId="76E775BB" w14:textId="77777777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 xml:space="preserve">Dec 2016 – Dec. 2019 Senior Foreign Counsel – </w:t>
      </w:r>
      <w:proofErr w:type="spellStart"/>
      <w:r w:rsidRPr="000150AC">
        <w:rPr>
          <w:bCs/>
          <w:i/>
          <w:lang w:bidi="en-US"/>
        </w:rPr>
        <w:t>Eptalex</w:t>
      </w:r>
      <w:proofErr w:type="spellEnd"/>
      <w:r w:rsidRPr="000150AC">
        <w:rPr>
          <w:bCs/>
          <w:i/>
          <w:lang w:bidi="en-US"/>
        </w:rPr>
        <w:t xml:space="preserve"> Aziz </w:t>
      </w:r>
      <w:proofErr w:type="spellStart"/>
      <w:r w:rsidRPr="000150AC">
        <w:rPr>
          <w:bCs/>
          <w:i/>
          <w:lang w:bidi="en-US"/>
        </w:rPr>
        <w:t>Torbey</w:t>
      </w:r>
      <w:proofErr w:type="spellEnd"/>
      <w:r w:rsidRPr="000150AC">
        <w:rPr>
          <w:bCs/>
          <w:i/>
          <w:lang w:bidi="en-US"/>
        </w:rPr>
        <w:t xml:space="preserve"> Law Firm</w:t>
      </w:r>
      <w:r w:rsidRPr="000150AC">
        <w:rPr>
          <w:bCs/>
          <w:lang w:bidi="en-US"/>
        </w:rPr>
        <w:t>, Beirut (LEB)</w:t>
      </w:r>
    </w:p>
    <w:p w14:paraId="289C84E4" w14:textId="77777777" w:rsidR="000150AC" w:rsidRPr="000150AC" w:rsidRDefault="000150AC" w:rsidP="000150AC">
      <w:pPr>
        <w:jc w:val="both"/>
        <w:rPr>
          <w:bCs/>
          <w:lang w:bidi="en-US"/>
        </w:rPr>
      </w:pPr>
      <w:proofErr w:type="gramStart"/>
      <w:r w:rsidRPr="000150AC">
        <w:rPr>
          <w:bCs/>
          <w:lang w:bidi="en-US"/>
        </w:rPr>
        <w:t>Legal counsel with a focus on the EMEA region in Cross-border Transactions, International Business Development, Intellectual Property and Technology, and Alternative Dispute Resolution.</w:t>
      </w:r>
      <w:proofErr w:type="gramEnd"/>
    </w:p>
    <w:p w14:paraId="5E5EF581" w14:textId="0043DC25" w:rsidR="000150AC" w:rsidRPr="000150AC" w:rsidRDefault="000150AC" w:rsidP="000150AC">
      <w:pPr>
        <w:jc w:val="both"/>
        <w:rPr>
          <w:bCs/>
          <w:lang w:bidi="en-US"/>
        </w:rPr>
      </w:pPr>
      <w:proofErr w:type="gramStart"/>
      <w:r w:rsidRPr="000150AC">
        <w:rPr>
          <w:bCs/>
          <w:lang w:bidi="en-US"/>
        </w:rPr>
        <w:t xml:space="preserve">Coordinator of the professional association </w:t>
      </w:r>
      <w:proofErr w:type="spellStart"/>
      <w:r w:rsidRPr="000150AC">
        <w:rPr>
          <w:bCs/>
          <w:lang w:bidi="en-US"/>
        </w:rPr>
        <w:t>Eptalex</w:t>
      </w:r>
      <w:proofErr w:type="spellEnd"/>
      <w:r w:rsidRPr="000150AC">
        <w:rPr>
          <w:bCs/>
          <w:lang w:bidi="en-US"/>
        </w:rPr>
        <w:t xml:space="preserve"> and assistant manager for marketing and communication.</w:t>
      </w:r>
      <w:proofErr w:type="gramEnd"/>
    </w:p>
    <w:p w14:paraId="3CD0CA68" w14:textId="2D4662AA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 xml:space="preserve">Oct 2015 – Dec 2016 Mediator – </w:t>
      </w:r>
      <w:r w:rsidRPr="000150AC">
        <w:rPr>
          <w:bCs/>
          <w:i/>
          <w:lang w:bidi="en-US"/>
        </w:rPr>
        <w:t xml:space="preserve">Tuscan Regional Committee </w:t>
      </w:r>
      <w:r w:rsidRPr="000150AC">
        <w:rPr>
          <w:bCs/>
          <w:lang w:bidi="en-US"/>
        </w:rPr>
        <w:t xml:space="preserve">and </w:t>
      </w:r>
      <w:r w:rsidRPr="000150AC">
        <w:rPr>
          <w:bCs/>
          <w:i/>
          <w:lang w:bidi="en-US"/>
        </w:rPr>
        <w:t xml:space="preserve">Latium Regional Committee </w:t>
      </w:r>
      <w:r w:rsidRPr="000150AC">
        <w:rPr>
          <w:bCs/>
          <w:lang w:bidi="en-US"/>
        </w:rPr>
        <w:t>(IT)</w:t>
      </w:r>
    </w:p>
    <w:p w14:paraId="30F1C4BC" w14:textId="77777777" w:rsidR="000150AC" w:rsidRPr="000150AC" w:rsidRDefault="000150AC" w:rsidP="000150AC">
      <w:pPr>
        <w:jc w:val="both"/>
        <w:rPr>
          <w:bCs/>
          <w:lang w:val="it-IT"/>
        </w:rPr>
      </w:pPr>
      <w:r w:rsidRPr="000150AC">
        <w:rPr>
          <w:b/>
          <w:bCs/>
          <w:lang w:val="it-IT"/>
        </w:rPr>
        <w:t xml:space="preserve">Oct 2015 – Nov 2016 Associate </w:t>
      </w:r>
      <w:r w:rsidRPr="000150AC">
        <w:rPr>
          <w:bCs/>
          <w:lang w:val="it-IT"/>
        </w:rPr>
        <w:t xml:space="preserve">– </w:t>
      </w:r>
      <w:r w:rsidRPr="000150AC">
        <w:rPr>
          <w:bCs/>
          <w:i/>
          <w:lang w:val="it-IT"/>
        </w:rPr>
        <w:t>Studio dell’Avvocato Antich</w:t>
      </w:r>
      <w:r w:rsidRPr="000150AC">
        <w:rPr>
          <w:bCs/>
          <w:lang w:val="it-IT"/>
        </w:rPr>
        <w:t>, Firenze (IT)</w:t>
      </w:r>
    </w:p>
    <w:p w14:paraId="34C66085" w14:textId="3A3F665A" w:rsidR="000150AC" w:rsidRPr="000150AC" w:rsidRDefault="000150AC" w:rsidP="000150AC">
      <w:pPr>
        <w:jc w:val="both"/>
        <w:rPr>
          <w:bCs/>
          <w:lang w:bidi="en-US"/>
        </w:rPr>
      </w:pPr>
      <w:proofErr w:type="gramStart"/>
      <w:r w:rsidRPr="000150AC">
        <w:rPr>
          <w:bCs/>
          <w:lang w:bidi="en-US"/>
        </w:rPr>
        <w:t>Assisted in civil and commercial cases at the domestic and international level.</w:t>
      </w:r>
      <w:proofErr w:type="gramEnd"/>
      <w:r w:rsidRPr="000150AC">
        <w:rPr>
          <w:bCs/>
          <w:lang w:bidi="en-US"/>
        </w:rPr>
        <w:t xml:space="preserve"> Researched, drafted, edited, and revised legal opinion and publications in Italian and English.</w:t>
      </w:r>
    </w:p>
    <w:p w14:paraId="5866B70A" w14:textId="00939ECA" w:rsidR="000150AC" w:rsidRPr="000150AC" w:rsidRDefault="000150AC" w:rsidP="000150AC">
      <w:pPr>
        <w:jc w:val="both"/>
        <w:rPr>
          <w:bCs/>
          <w:i/>
          <w:lang w:bidi="en-US"/>
        </w:rPr>
      </w:pPr>
      <w:r w:rsidRPr="000150AC">
        <w:rPr>
          <w:b/>
          <w:bCs/>
          <w:lang w:bidi="en-US"/>
        </w:rPr>
        <w:t>Jun 2013 - Nov 2016</w:t>
      </w:r>
      <w:r w:rsidRPr="000150AC">
        <w:rPr>
          <w:b/>
          <w:bCs/>
          <w:lang w:bidi="en-US"/>
        </w:rPr>
        <w:tab/>
        <w:t xml:space="preserve">International Business Development Consultant </w:t>
      </w:r>
      <w:r w:rsidRPr="000150AC">
        <w:rPr>
          <w:bCs/>
          <w:lang w:bidi="en-US"/>
        </w:rPr>
        <w:t xml:space="preserve">in collaboration with </w:t>
      </w:r>
      <w:proofErr w:type="spellStart"/>
      <w:r w:rsidRPr="000150AC">
        <w:rPr>
          <w:bCs/>
          <w:i/>
          <w:lang w:bidi="en-US"/>
        </w:rPr>
        <w:t>Vegni</w:t>
      </w:r>
      <w:proofErr w:type="spellEnd"/>
      <w:r w:rsidRPr="000150AC">
        <w:rPr>
          <w:bCs/>
          <w:i/>
          <w:lang w:bidi="en-US"/>
        </w:rPr>
        <w:t xml:space="preserve"> Consulting Group</w:t>
      </w:r>
    </w:p>
    <w:p w14:paraId="576B9635" w14:textId="45EF18B5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 xml:space="preserve">Jan 2011 – Dec 2011 Junior Associate </w:t>
      </w:r>
      <w:r w:rsidRPr="000150AC">
        <w:rPr>
          <w:bCs/>
          <w:lang w:bidi="en-US"/>
        </w:rPr>
        <w:t xml:space="preserve">- </w:t>
      </w:r>
      <w:proofErr w:type="spellStart"/>
      <w:r w:rsidRPr="000150AC">
        <w:rPr>
          <w:bCs/>
          <w:i/>
          <w:lang w:bidi="en-US"/>
        </w:rPr>
        <w:t>Perroni</w:t>
      </w:r>
      <w:proofErr w:type="spellEnd"/>
      <w:r w:rsidRPr="000150AC">
        <w:rPr>
          <w:bCs/>
          <w:i/>
          <w:lang w:bidi="en-US"/>
        </w:rPr>
        <w:t xml:space="preserve"> e </w:t>
      </w:r>
      <w:proofErr w:type="spellStart"/>
      <w:r w:rsidRPr="000150AC">
        <w:rPr>
          <w:bCs/>
          <w:i/>
          <w:lang w:bidi="en-US"/>
        </w:rPr>
        <w:t>Associati</w:t>
      </w:r>
      <w:proofErr w:type="spellEnd"/>
      <w:r w:rsidRPr="000150AC">
        <w:rPr>
          <w:bCs/>
          <w:i/>
          <w:lang w:bidi="en-US"/>
        </w:rPr>
        <w:t xml:space="preserve"> Law Firm</w:t>
      </w:r>
      <w:r w:rsidRPr="000150AC">
        <w:rPr>
          <w:bCs/>
          <w:lang w:bidi="en-US"/>
        </w:rPr>
        <w:t>, Rome (IT)</w:t>
      </w:r>
    </w:p>
    <w:p w14:paraId="556E41C0" w14:textId="77777777" w:rsidR="000150AC" w:rsidRPr="000150AC" w:rsidRDefault="000150AC" w:rsidP="000150AC">
      <w:pPr>
        <w:jc w:val="both"/>
        <w:rPr>
          <w:bCs/>
          <w:lang w:bidi="en-US"/>
        </w:rPr>
      </w:pPr>
      <w:proofErr w:type="gramStart"/>
      <w:r w:rsidRPr="000150AC">
        <w:rPr>
          <w:b/>
          <w:bCs/>
          <w:lang w:bidi="en-US"/>
        </w:rPr>
        <w:t xml:space="preserve">Sep 2008 – Oct 2010 Trainee Lawyer </w:t>
      </w:r>
      <w:r w:rsidRPr="000150AC">
        <w:rPr>
          <w:bCs/>
          <w:lang w:bidi="en-US"/>
        </w:rPr>
        <w:t xml:space="preserve">– </w:t>
      </w:r>
      <w:r w:rsidRPr="000150AC">
        <w:rPr>
          <w:bCs/>
          <w:i/>
          <w:lang w:bidi="en-US"/>
        </w:rPr>
        <w:t xml:space="preserve">Studio </w:t>
      </w:r>
      <w:proofErr w:type="spellStart"/>
      <w:r w:rsidRPr="000150AC">
        <w:rPr>
          <w:bCs/>
          <w:i/>
          <w:lang w:bidi="en-US"/>
        </w:rPr>
        <w:t>Avv</w:t>
      </w:r>
      <w:proofErr w:type="spellEnd"/>
      <w:r w:rsidRPr="000150AC">
        <w:rPr>
          <w:bCs/>
          <w:i/>
          <w:lang w:bidi="en-US"/>
        </w:rPr>
        <w:t>.</w:t>
      </w:r>
      <w:proofErr w:type="gramEnd"/>
      <w:r w:rsidRPr="000150AC">
        <w:rPr>
          <w:bCs/>
          <w:i/>
          <w:lang w:bidi="en-US"/>
        </w:rPr>
        <w:t xml:space="preserve"> Claudio </w:t>
      </w:r>
      <w:proofErr w:type="spellStart"/>
      <w:r w:rsidRPr="000150AC">
        <w:rPr>
          <w:bCs/>
          <w:i/>
          <w:lang w:bidi="en-US"/>
        </w:rPr>
        <w:t>Neri</w:t>
      </w:r>
      <w:proofErr w:type="spellEnd"/>
      <w:r w:rsidRPr="000150AC">
        <w:rPr>
          <w:bCs/>
          <w:lang w:bidi="en-US"/>
        </w:rPr>
        <w:t>, Campobasso (IT)</w:t>
      </w:r>
    </w:p>
    <w:p w14:paraId="1F561F6F" w14:textId="77777777" w:rsidR="000150AC" w:rsidRPr="000150AC" w:rsidRDefault="000150AC" w:rsidP="000150AC">
      <w:pPr>
        <w:jc w:val="both"/>
        <w:rPr>
          <w:bCs/>
          <w:u w:val="single"/>
          <w:lang w:bidi="en-US"/>
        </w:rPr>
      </w:pPr>
    </w:p>
    <w:p w14:paraId="24344823" w14:textId="14A62BE8" w:rsidR="000150AC" w:rsidRPr="000150AC" w:rsidRDefault="000150AC" w:rsidP="000150AC">
      <w:pPr>
        <w:jc w:val="both"/>
        <w:rPr>
          <w:b/>
          <w:bCs/>
          <w:i/>
          <w:u w:val="single"/>
          <w:lang w:bidi="en-US"/>
        </w:rPr>
      </w:pPr>
      <w:r w:rsidRPr="000150AC">
        <w:rPr>
          <w:b/>
          <w:bCs/>
          <w:i/>
          <w:u w:val="single"/>
          <w:lang w:bidi="en-US"/>
        </w:rPr>
        <w:t>Education &amp; training</w:t>
      </w:r>
    </w:p>
    <w:p w14:paraId="58F318E3" w14:textId="77AF2740" w:rsidR="000150AC" w:rsidRPr="000150AC" w:rsidRDefault="000150AC" w:rsidP="000150AC">
      <w:pPr>
        <w:jc w:val="both"/>
        <w:rPr>
          <w:bCs/>
          <w:lang w:bidi="en-US"/>
        </w:rPr>
      </w:pPr>
      <w:proofErr w:type="gramStart"/>
      <w:r w:rsidRPr="000150AC">
        <w:rPr>
          <w:b/>
          <w:bCs/>
          <w:lang w:bidi="en-US"/>
        </w:rPr>
        <w:t>June – Aug 2019</w:t>
      </w:r>
      <w:r w:rsidRPr="000150AC">
        <w:rPr>
          <w:b/>
          <w:bCs/>
          <w:lang w:bidi="en-US"/>
        </w:rPr>
        <w:tab/>
        <w:t>Rotary Peace Fellowship granted by the Trustees of the Rotary Foundation</w:t>
      </w:r>
      <w:r w:rsidRPr="000150AC">
        <w:rPr>
          <w:bCs/>
          <w:lang w:bidi="en-US"/>
        </w:rPr>
        <w:t xml:space="preserve">, at </w:t>
      </w:r>
      <w:proofErr w:type="spellStart"/>
      <w:r w:rsidRPr="000150AC">
        <w:rPr>
          <w:bCs/>
          <w:i/>
          <w:lang w:bidi="en-US"/>
        </w:rPr>
        <w:t>Chulalongkorn</w:t>
      </w:r>
      <w:proofErr w:type="spellEnd"/>
      <w:r w:rsidRPr="000150AC">
        <w:rPr>
          <w:bCs/>
          <w:i/>
          <w:lang w:bidi="en-US"/>
        </w:rPr>
        <w:t xml:space="preserve"> University </w:t>
      </w:r>
      <w:r w:rsidRPr="000150AC">
        <w:rPr>
          <w:bCs/>
          <w:lang w:bidi="en-US"/>
        </w:rPr>
        <w:t>in Bangkok (Thailand).</w:t>
      </w:r>
      <w:proofErr w:type="gramEnd"/>
      <w:r w:rsidRPr="000150AC">
        <w:rPr>
          <w:bCs/>
          <w:lang w:bidi="en-US"/>
        </w:rPr>
        <w:t xml:space="preserve"> The program focuses on the concept and value of peace and conflict studies, conflict resolution and transformation and building sustainable peace.</w:t>
      </w:r>
    </w:p>
    <w:p w14:paraId="26BD4A9D" w14:textId="1581BE09" w:rsidR="000150AC" w:rsidRPr="000150AC" w:rsidRDefault="000150AC" w:rsidP="000150AC">
      <w:pPr>
        <w:jc w:val="both"/>
        <w:rPr>
          <w:bCs/>
          <w:lang w:val="fr-FR"/>
        </w:rPr>
      </w:pPr>
      <w:r w:rsidRPr="000150AC">
        <w:rPr>
          <w:b/>
          <w:bCs/>
          <w:lang w:val="fr-FR"/>
        </w:rPr>
        <w:t>2018 – 2019</w:t>
      </w:r>
      <w:r w:rsidRPr="000150AC">
        <w:rPr>
          <w:b/>
          <w:bCs/>
          <w:lang w:val="fr-FR"/>
        </w:rPr>
        <w:tab/>
      </w:r>
      <w:r w:rsidRPr="000150AC">
        <w:rPr>
          <w:b/>
          <w:bCs/>
          <w:lang w:val="fr-FR"/>
        </w:rPr>
        <w:tab/>
      </w:r>
      <w:proofErr w:type="spellStart"/>
      <w:r w:rsidRPr="000150AC">
        <w:rPr>
          <w:b/>
          <w:bCs/>
          <w:lang w:val="fr-FR"/>
        </w:rPr>
        <w:t>Mediation</w:t>
      </w:r>
      <w:proofErr w:type="spellEnd"/>
      <w:r w:rsidRPr="000150AC">
        <w:rPr>
          <w:b/>
          <w:bCs/>
          <w:lang w:val="fr-FR"/>
        </w:rPr>
        <w:t xml:space="preserve"> </w:t>
      </w:r>
      <w:proofErr w:type="gramStart"/>
      <w:r w:rsidRPr="000150AC">
        <w:rPr>
          <w:b/>
          <w:bCs/>
          <w:lang w:val="fr-FR"/>
        </w:rPr>
        <w:t>course</w:t>
      </w:r>
      <w:proofErr w:type="gramEnd"/>
      <w:r w:rsidRPr="000150AC">
        <w:rPr>
          <w:b/>
          <w:bCs/>
          <w:lang w:val="fr-FR"/>
        </w:rPr>
        <w:t xml:space="preserve"> at </w:t>
      </w:r>
      <w:r w:rsidRPr="000150AC">
        <w:rPr>
          <w:bCs/>
          <w:i/>
          <w:lang w:val="fr-FR"/>
        </w:rPr>
        <w:t>Centre Professionnel de Médiation</w:t>
      </w:r>
      <w:r w:rsidRPr="000150AC">
        <w:rPr>
          <w:b/>
          <w:bCs/>
          <w:lang w:val="fr-FR"/>
        </w:rPr>
        <w:t xml:space="preserve">, </w:t>
      </w:r>
      <w:proofErr w:type="spellStart"/>
      <w:r w:rsidRPr="000150AC">
        <w:rPr>
          <w:bCs/>
          <w:lang w:val="fr-FR"/>
        </w:rPr>
        <w:t>Beirut</w:t>
      </w:r>
      <w:proofErr w:type="spellEnd"/>
      <w:r w:rsidRPr="000150AC">
        <w:rPr>
          <w:bCs/>
          <w:lang w:val="fr-FR"/>
        </w:rPr>
        <w:t xml:space="preserve"> (LEB)</w:t>
      </w:r>
    </w:p>
    <w:p w14:paraId="3CBB7600" w14:textId="2D641572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>8-10 May 2018</w:t>
      </w:r>
      <w:r w:rsidRPr="000150AC">
        <w:rPr>
          <w:b/>
          <w:bCs/>
          <w:lang w:bidi="en-US"/>
        </w:rPr>
        <w:tab/>
        <w:t xml:space="preserve">Training Course in Investor State Dispute and Mediation </w:t>
      </w:r>
      <w:r w:rsidRPr="000150AC">
        <w:rPr>
          <w:bCs/>
          <w:lang w:bidi="en-US"/>
        </w:rPr>
        <w:t xml:space="preserve">– Organized by </w:t>
      </w:r>
      <w:r w:rsidRPr="000150AC">
        <w:rPr>
          <w:bCs/>
          <w:i/>
          <w:lang w:bidi="en-US"/>
        </w:rPr>
        <w:t>ICSID, Energy Charter Secretariat</w:t>
      </w:r>
      <w:r w:rsidRPr="000150AC">
        <w:rPr>
          <w:bCs/>
          <w:lang w:bidi="en-US"/>
        </w:rPr>
        <w:t xml:space="preserve">, and </w:t>
      </w:r>
      <w:r w:rsidRPr="000150AC">
        <w:rPr>
          <w:bCs/>
          <w:i/>
          <w:lang w:bidi="en-US"/>
        </w:rPr>
        <w:t xml:space="preserve">CEDR </w:t>
      </w:r>
      <w:r w:rsidRPr="000150AC">
        <w:rPr>
          <w:bCs/>
          <w:lang w:bidi="en-US"/>
        </w:rPr>
        <w:t>– Paris (FR)</w:t>
      </w:r>
    </w:p>
    <w:p w14:paraId="73B8032B" w14:textId="73977666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>2016 - 2017</w:t>
      </w:r>
      <w:r w:rsidRPr="000150AC">
        <w:rPr>
          <w:b/>
          <w:bCs/>
          <w:lang w:bidi="en-US"/>
        </w:rPr>
        <w:tab/>
        <w:t xml:space="preserve">LL.M. in Transnational Commercial Practice </w:t>
      </w:r>
      <w:r w:rsidRPr="000150AC">
        <w:rPr>
          <w:bCs/>
          <w:lang w:bidi="en-US"/>
        </w:rPr>
        <w:t xml:space="preserve">– organized by </w:t>
      </w:r>
      <w:proofErr w:type="spellStart"/>
      <w:r w:rsidRPr="000150AC">
        <w:rPr>
          <w:bCs/>
          <w:i/>
          <w:lang w:bidi="en-US"/>
        </w:rPr>
        <w:t>Center</w:t>
      </w:r>
      <w:proofErr w:type="spellEnd"/>
      <w:r w:rsidRPr="000150AC">
        <w:rPr>
          <w:bCs/>
          <w:i/>
          <w:lang w:bidi="en-US"/>
        </w:rPr>
        <w:t xml:space="preserve"> for International Legal Studies </w:t>
      </w:r>
      <w:r w:rsidRPr="000150AC">
        <w:rPr>
          <w:bCs/>
          <w:lang w:bidi="en-US"/>
        </w:rPr>
        <w:t xml:space="preserve">(Austria), together with </w:t>
      </w:r>
      <w:proofErr w:type="spellStart"/>
      <w:r w:rsidRPr="000150AC">
        <w:rPr>
          <w:bCs/>
          <w:i/>
          <w:lang w:bidi="en-US"/>
        </w:rPr>
        <w:t>Lazarski</w:t>
      </w:r>
      <w:proofErr w:type="spellEnd"/>
      <w:r w:rsidRPr="000150AC">
        <w:rPr>
          <w:bCs/>
          <w:i/>
          <w:lang w:bidi="en-US"/>
        </w:rPr>
        <w:t xml:space="preserve"> University </w:t>
      </w:r>
      <w:r w:rsidRPr="000150AC">
        <w:rPr>
          <w:bCs/>
          <w:lang w:bidi="en-US"/>
        </w:rPr>
        <w:t xml:space="preserve">(Poland), </w:t>
      </w:r>
      <w:proofErr w:type="spellStart"/>
      <w:r w:rsidRPr="000150AC">
        <w:rPr>
          <w:bCs/>
          <w:i/>
          <w:lang w:bidi="en-US"/>
        </w:rPr>
        <w:t>Eötvös</w:t>
      </w:r>
      <w:proofErr w:type="spellEnd"/>
      <w:r w:rsidRPr="000150AC">
        <w:rPr>
          <w:bCs/>
          <w:i/>
          <w:lang w:bidi="en-US"/>
        </w:rPr>
        <w:t xml:space="preserve"> </w:t>
      </w:r>
      <w:proofErr w:type="spellStart"/>
      <w:r w:rsidRPr="000150AC">
        <w:rPr>
          <w:bCs/>
          <w:i/>
          <w:lang w:bidi="en-US"/>
        </w:rPr>
        <w:t>Loránd</w:t>
      </w:r>
      <w:proofErr w:type="spellEnd"/>
      <w:r w:rsidRPr="000150AC">
        <w:rPr>
          <w:bCs/>
          <w:i/>
          <w:lang w:bidi="en-US"/>
        </w:rPr>
        <w:t xml:space="preserve"> University </w:t>
      </w:r>
      <w:r w:rsidRPr="000150AC">
        <w:rPr>
          <w:bCs/>
          <w:lang w:bidi="en-US"/>
        </w:rPr>
        <w:t xml:space="preserve">(Hungary), and </w:t>
      </w:r>
      <w:r w:rsidRPr="000150AC">
        <w:rPr>
          <w:bCs/>
          <w:i/>
          <w:lang w:bidi="en-US"/>
        </w:rPr>
        <w:t xml:space="preserve">Boston University </w:t>
      </w:r>
      <w:r w:rsidRPr="000150AC">
        <w:rPr>
          <w:bCs/>
          <w:lang w:bidi="en-US"/>
        </w:rPr>
        <w:t>(USA)</w:t>
      </w:r>
    </w:p>
    <w:p w14:paraId="424D0B18" w14:textId="4091ECE9" w:rsidR="000150AC" w:rsidRPr="000150AC" w:rsidRDefault="000150AC" w:rsidP="000150AC">
      <w:pPr>
        <w:jc w:val="both"/>
        <w:rPr>
          <w:bCs/>
          <w:lang w:bidi="en-US"/>
        </w:rPr>
      </w:pPr>
      <w:r w:rsidRPr="000150AC">
        <w:rPr>
          <w:b/>
          <w:bCs/>
          <w:lang w:bidi="en-US"/>
        </w:rPr>
        <w:t xml:space="preserve">May – June 2015 </w:t>
      </w:r>
      <w:r w:rsidRPr="000150AC">
        <w:rPr>
          <w:b/>
          <w:bCs/>
          <w:lang w:bidi="en-US"/>
        </w:rPr>
        <w:tab/>
        <w:t xml:space="preserve">Commercial Mediation Basic Course (50 hours) </w:t>
      </w:r>
      <w:r w:rsidRPr="000150AC">
        <w:rPr>
          <w:bCs/>
          <w:lang w:bidi="en-US"/>
        </w:rPr>
        <w:t>– organized by the Centre of Mediation of Europe, the Mediterranean and the Middle East / European Arbitration Court (CEM), Florence (IT)</w:t>
      </w:r>
    </w:p>
    <w:p w14:paraId="07423A00" w14:textId="3FA88F65" w:rsidR="000150AC" w:rsidRPr="000150AC" w:rsidRDefault="000150AC" w:rsidP="000150AC">
      <w:pPr>
        <w:jc w:val="both"/>
        <w:rPr>
          <w:bCs/>
          <w:i/>
          <w:lang w:bidi="en-US"/>
        </w:rPr>
      </w:pPr>
      <w:proofErr w:type="gramStart"/>
      <w:r w:rsidRPr="000150AC">
        <w:rPr>
          <w:b/>
          <w:bCs/>
          <w:lang w:bidi="en-US"/>
        </w:rPr>
        <w:t>Jul 2008</w:t>
      </w:r>
      <w:r w:rsidRPr="000150AC">
        <w:rPr>
          <w:b/>
          <w:bCs/>
          <w:lang w:bidi="en-US"/>
        </w:rPr>
        <w:tab/>
        <w:t xml:space="preserve">Master’s Degree in Public Law and Institutions Law </w:t>
      </w:r>
      <w:r w:rsidRPr="000150AC">
        <w:rPr>
          <w:bCs/>
          <w:lang w:bidi="en-US"/>
        </w:rPr>
        <w:t xml:space="preserve">– </w:t>
      </w:r>
      <w:r w:rsidRPr="000150AC">
        <w:rPr>
          <w:bCs/>
          <w:i/>
          <w:lang w:bidi="en-US"/>
        </w:rPr>
        <w:t xml:space="preserve">LUISS Guido Carli University </w:t>
      </w:r>
      <w:r w:rsidRPr="000150AC">
        <w:rPr>
          <w:bCs/>
          <w:lang w:bidi="en-US"/>
        </w:rPr>
        <w:t>– Rome (IT).</w:t>
      </w:r>
      <w:proofErr w:type="gramEnd"/>
      <w:r w:rsidRPr="000150AC">
        <w:rPr>
          <w:bCs/>
          <w:lang w:bidi="en-US"/>
        </w:rPr>
        <w:t xml:space="preserve"> Thesis Parliamentary Law: </w:t>
      </w:r>
      <w:r w:rsidRPr="000150AC">
        <w:rPr>
          <w:bCs/>
          <w:i/>
          <w:lang w:bidi="en-US"/>
        </w:rPr>
        <w:t>The role of the Minister for Governmental Affairs</w:t>
      </w:r>
    </w:p>
    <w:p w14:paraId="321C4898" w14:textId="3AADFBFB" w:rsidR="000150AC" w:rsidRPr="000150AC" w:rsidRDefault="000150AC" w:rsidP="000150AC">
      <w:pPr>
        <w:jc w:val="both"/>
        <w:rPr>
          <w:bCs/>
          <w:lang w:val="en-US"/>
        </w:rPr>
      </w:pPr>
      <w:proofErr w:type="gramStart"/>
      <w:r w:rsidRPr="000150AC">
        <w:rPr>
          <w:b/>
          <w:bCs/>
          <w:lang w:val="en-US"/>
        </w:rPr>
        <w:t>Apr 2006</w:t>
      </w:r>
      <w:r w:rsidRPr="000150AC">
        <w:rPr>
          <w:bCs/>
          <w:lang w:val="en-US"/>
        </w:rPr>
        <w:tab/>
        <w:t>Bachelor’s Degree in Legal Transaction and Negotiation – LUISS Guido Carli University, Rome (IT).</w:t>
      </w:r>
      <w:proofErr w:type="gramEnd"/>
      <w:r w:rsidRPr="000150AC">
        <w:rPr>
          <w:bCs/>
          <w:lang w:val="en-US"/>
        </w:rPr>
        <w:t xml:space="preserve"> Thesis Comparative Legal Systems: </w:t>
      </w:r>
      <w:r w:rsidRPr="000150AC">
        <w:rPr>
          <w:bCs/>
          <w:i/>
          <w:iCs/>
          <w:lang w:val="en-US"/>
        </w:rPr>
        <w:t xml:space="preserve">The </w:t>
      </w:r>
      <w:proofErr w:type="spellStart"/>
      <w:r w:rsidRPr="000150AC">
        <w:rPr>
          <w:bCs/>
          <w:i/>
          <w:iCs/>
          <w:lang w:val="en-US"/>
        </w:rPr>
        <w:t>Privity</w:t>
      </w:r>
      <w:proofErr w:type="spellEnd"/>
      <w:r w:rsidRPr="000150AC">
        <w:rPr>
          <w:bCs/>
          <w:i/>
          <w:iCs/>
          <w:lang w:val="en-US"/>
        </w:rPr>
        <w:t xml:space="preserve"> of Contract</w:t>
      </w:r>
    </w:p>
    <w:p w14:paraId="2575CD75" w14:textId="77777777" w:rsidR="000150AC" w:rsidRDefault="000150AC" w:rsidP="000150AC">
      <w:pPr>
        <w:jc w:val="both"/>
        <w:rPr>
          <w:b/>
          <w:bCs/>
          <w:i/>
          <w:u w:val="single"/>
          <w:lang w:bidi="en-US"/>
        </w:rPr>
      </w:pPr>
    </w:p>
    <w:p w14:paraId="2EE4BCEC" w14:textId="75D23228" w:rsidR="000150AC" w:rsidRPr="000150AC" w:rsidRDefault="000150AC" w:rsidP="000150AC">
      <w:pPr>
        <w:jc w:val="both"/>
        <w:rPr>
          <w:b/>
          <w:bCs/>
          <w:i/>
          <w:u w:val="single"/>
          <w:lang w:bidi="en-US"/>
        </w:rPr>
      </w:pPr>
      <w:bookmarkStart w:id="0" w:name="_GoBack"/>
      <w:bookmarkEnd w:id="0"/>
      <w:r w:rsidRPr="000150AC">
        <w:rPr>
          <w:b/>
          <w:bCs/>
          <w:i/>
          <w:u w:val="single"/>
          <w:lang w:bidi="en-US"/>
        </w:rPr>
        <w:lastRenderedPageBreak/>
        <w:t>Other qualifications</w:t>
      </w:r>
    </w:p>
    <w:p w14:paraId="13B0FB12" w14:textId="61C62CDE" w:rsidR="000150AC" w:rsidRPr="000150AC" w:rsidRDefault="000150AC" w:rsidP="000150AC">
      <w:pPr>
        <w:jc w:val="both"/>
        <w:rPr>
          <w:bCs/>
          <w:iCs/>
          <w:lang w:val="en-US"/>
        </w:rPr>
      </w:pPr>
      <w:r w:rsidRPr="000150AC">
        <w:rPr>
          <w:bCs/>
          <w:iCs/>
          <w:lang w:val="en-US"/>
        </w:rPr>
        <w:t>Member of the SIMI mediator’s panel (profile under review)</w:t>
      </w:r>
    </w:p>
    <w:p w14:paraId="1CAEB065" w14:textId="7A3BC374" w:rsidR="000150AC" w:rsidRPr="000150AC" w:rsidRDefault="000150AC" w:rsidP="000150AC">
      <w:pPr>
        <w:jc w:val="both"/>
        <w:rPr>
          <w:bCs/>
          <w:iCs/>
          <w:lang w:val="en-US"/>
        </w:rPr>
      </w:pPr>
      <w:r w:rsidRPr="000150AC">
        <w:rPr>
          <w:bCs/>
          <w:iCs/>
          <w:lang w:val="en-US"/>
        </w:rPr>
        <w:t>IMI Certified Mediator (profile under review after passing the qualified assessment program by CEM Italian Delegation)</w:t>
      </w:r>
    </w:p>
    <w:p w14:paraId="661CEDFC" w14:textId="29DF653E" w:rsidR="000150AC" w:rsidRPr="000150AC" w:rsidRDefault="000150AC" w:rsidP="000150AC">
      <w:pPr>
        <w:jc w:val="both"/>
        <w:rPr>
          <w:bCs/>
          <w:lang w:val="en-US"/>
        </w:rPr>
      </w:pPr>
      <w:r w:rsidRPr="000150AC">
        <w:rPr>
          <w:bCs/>
          <w:lang w:val="en-US"/>
        </w:rPr>
        <w:t>Mediator at Italian Delegation of Centre of Mediation of Europe, the Mediterranean and the Middle East / European Arbitration Court</w:t>
      </w:r>
    </w:p>
    <w:p w14:paraId="7EE2CFDC" w14:textId="77777777" w:rsidR="000150AC" w:rsidRPr="000150AC" w:rsidRDefault="000150AC" w:rsidP="000150AC">
      <w:pPr>
        <w:jc w:val="both"/>
        <w:rPr>
          <w:bCs/>
          <w:lang w:val="en-US"/>
        </w:rPr>
      </w:pPr>
      <w:r w:rsidRPr="000150AC">
        <w:rPr>
          <w:bCs/>
          <w:lang w:val="en-US"/>
        </w:rPr>
        <w:t>Attorney at law member of the Italian Bar Association</w:t>
      </w:r>
    </w:p>
    <w:p w14:paraId="6C0F4A75" w14:textId="77777777" w:rsidR="00446E66" w:rsidRPr="000150AC" w:rsidRDefault="00446E66" w:rsidP="00446E66">
      <w:pPr>
        <w:jc w:val="both"/>
        <w:rPr>
          <w:lang w:val="en-US"/>
        </w:rPr>
      </w:pPr>
    </w:p>
    <w:p w14:paraId="65F21C8D" w14:textId="0954507F" w:rsidR="008C3A98" w:rsidRPr="00C175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Mediation Style</w:t>
      </w:r>
    </w:p>
    <w:p w14:paraId="3EC761A7" w14:textId="77777777" w:rsidR="000150AC" w:rsidRPr="000150AC" w:rsidRDefault="000150AC" w:rsidP="000150AC">
      <w:pPr>
        <w:jc w:val="both"/>
        <w:rPr>
          <w:bCs/>
          <w:iCs/>
          <w:lang w:bidi="en-US"/>
        </w:rPr>
      </w:pPr>
      <w:r w:rsidRPr="000150AC">
        <w:rPr>
          <w:bCs/>
          <w:iCs/>
          <w:lang w:bidi="en-US"/>
        </w:rPr>
        <w:t>Working as an international legal consultant, in different countries, in Europe, the Middle East and the USA, I understand the great difference that active listening and honest communication do in the resolution of disputes, especially in international cases. I always keep in mind the human side of the mediation process, bearing in mind the business nature of the issues at stake.</w:t>
      </w:r>
    </w:p>
    <w:p w14:paraId="01FA28FA" w14:textId="77777777" w:rsidR="000150AC" w:rsidRPr="000150AC" w:rsidRDefault="000150AC" w:rsidP="000150AC">
      <w:pPr>
        <w:jc w:val="both"/>
        <w:rPr>
          <w:bCs/>
          <w:iCs/>
          <w:lang w:bidi="en-US"/>
        </w:rPr>
      </w:pPr>
      <w:r w:rsidRPr="000150AC">
        <w:rPr>
          <w:bCs/>
          <w:iCs/>
          <w:lang w:bidi="en-US"/>
        </w:rPr>
        <w:t xml:space="preserve">I value listening and empathy as my experiences abroad enhanced my intercultural sensitiveness. I believe in not being committed to only one style. I commonly use a blend of facilitative manners and evaluative proposals, while respecting confidentiality throughout the entire process. My adaptability always depends on the parties involved and their interests. </w:t>
      </w:r>
    </w:p>
    <w:p w14:paraId="34BB354A" w14:textId="175C9B3C" w:rsidR="00E2577E" w:rsidRPr="00446E66" w:rsidRDefault="00E2577E" w:rsidP="008823B9">
      <w:pPr>
        <w:jc w:val="both"/>
      </w:pPr>
    </w:p>
    <w:sectPr w:rsidR="00E2577E" w:rsidRPr="00446E66" w:rsidSect="00860E9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556CF" w14:textId="77777777" w:rsidR="008607E0" w:rsidRDefault="008607E0" w:rsidP="001A6AB8">
      <w:pPr>
        <w:spacing w:after="0" w:line="240" w:lineRule="auto"/>
      </w:pPr>
      <w:r>
        <w:separator/>
      </w:r>
    </w:p>
  </w:endnote>
  <w:endnote w:type="continuationSeparator" w:id="0">
    <w:p w14:paraId="0B958647" w14:textId="77777777" w:rsidR="008607E0" w:rsidRDefault="008607E0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HTF Book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6AE2F6D8-C565-41F1-8AD9-E1CF2F7F4270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C2149213-93C8-4D16-BA1F-D53D3B650031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9DB5757B-40E8-4675-87B0-8D7308295BA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55AD1" w14:textId="77777777" w:rsidR="008607E0" w:rsidRDefault="008607E0" w:rsidP="001A6AB8">
      <w:pPr>
        <w:spacing w:after="0" w:line="240" w:lineRule="auto"/>
      </w:pPr>
      <w:r>
        <w:separator/>
      </w:r>
    </w:p>
  </w:footnote>
  <w:footnote w:type="continuationSeparator" w:id="0">
    <w:p w14:paraId="582C8B85" w14:textId="77777777" w:rsidR="008607E0" w:rsidRDefault="008607E0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8607E0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8607E0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8607E0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E95501"/>
    <w:multiLevelType w:val="hybridMultilevel"/>
    <w:tmpl w:val="C3947EC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14F4FE">
      <w:numFmt w:val="bullet"/>
      <w:lvlText w:val="-"/>
      <w:lvlJc w:val="left"/>
      <w:pPr>
        <w:ind w:left="1440" w:hanging="360"/>
      </w:pPr>
      <w:rPr>
        <w:rFonts w:ascii="Gotham HTF Book" w:eastAsia="MS Gothic" w:hAnsi="Gotham HTF Book" w:cs="Calibri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0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150AC"/>
    <w:rsid w:val="000F129B"/>
    <w:rsid w:val="0010158A"/>
    <w:rsid w:val="001245FC"/>
    <w:rsid w:val="00142FFA"/>
    <w:rsid w:val="001802BC"/>
    <w:rsid w:val="001A6AB8"/>
    <w:rsid w:val="002012E7"/>
    <w:rsid w:val="0024308E"/>
    <w:rsid w:val="00307036"/>
    <w:rsid w:val="0036441D"/>
    <w:rsid w:val="003C4486"/>
    <w:rsid w:val="0042710E"/>
    <w:rsid w:val="00446E66"/>
    <w:rsid w:val="004F7CDE"/>
    <w:rsid w:val="005A7CF3"/>
    <w:rsid w:val="005E03C1"/>
    <w:rsid w:val="006109FB"/>
    <w:rsid w:val="00625180"/>
    <w:rsid w:val="006F0921"/>
    <w:rsid w:val="00773A22"/>
    <w:rsid w:val="00774C5F"/>
    <w:rsid w:val="007829DE"/>
    <w:rsid w:val="0082182F"/>
    <w:rsid w:val="008607E0"/>
    <w:rsid w:val="00860E9D"/>
    <w:rsid w:val="00877D33"/>
    <w:rsid w:val="008823B9"/>
    <w:rsid w:val="008C3A98"/>
    <w:rsid w:val="008D154F"/>
    <w:rsid w:val="00925788"/>
    <w:rsid w:val="00942427"/>
    <w:rsid w:val="00942507"/>
    <w:rsid w:val="00A404D5"/>
    <w:rsid w:val="00BA4935"/>
    <w:rsid w:val="00BF2C32"/>
    <w:rsid w:val="00C17566"/>
    <w:rsid w:val="00CB6D22"/>
    <w:rsid w:val="00CC0E83"/>
    <w:rsid w:val="00CE3373"/>
    <w:rsid w:val="00D62D15"/>
    <w:rsid w:val="00E20AE5"/>
    <w:rsid w:val="00E2577E"/>
    <w:rsid w:val="00E544F6"/>
    <w:rsid w:val="00E84168"/>
    <w:rsid w:val="00EB0F6A"/>
    <w:rsid w:val="00EC5326"/>
    <w:rsid w:val="00EE77D9"/>
    <w:rsid w:val="00F039BB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35011-C976-4D56-B3D7-67449C04C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2</cp:revision>
  <dcterms:created xsi:type="dcterms:W3CDTF">2020-10-01T12:52:00Z</dcterms:created>
  <dcterms:modified xsi:type="dcterms:W3CDTF">2020-10-01T12:52:00Z</dcterms:modified>
</cp:coreProperties>
</file>