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308" w14:textId="5D9997F7" w:rsidR="00C50F0A" w:rsidRPr="008C44B6" w:rsidRDefault="00C50F0A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bCs/>
          <w:color w:val="1A4FA6"/>
          <w:sz w:val="48"/>
          <w:szCs w:val="48"/>
        </w:rPr>
        <w:t>Processo de mediação Google P2B</w:t>
      </w:r>
    </w:p>
    <w:p w14:paraId="76D4EB55" w14:textId="01D7C43F" w:rsidR="008C44B6" w:rsidRPr="008C44B6" w:rsidRDefault="008C44B6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bCs/>
          <w:color w:val="1A4FA6"/>
          <w:sz w:val="48"/>
          <w:szCs w:val="48"/>
        </w:rPr>
        <w:t>Declaração de Resultado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2EDB4CE4" w14:textId="29B112E2" w:rsidR="008C44B6" w:rsidRDefault="008C44B6" w:rsidP="00C50F0A">
      <w:pPr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Referência do processo:</w:t>
      </w:r>
    </w:p>
    <w:p w14:paraId="33AEFEA1" w14:textId="77777777" w:rsidR="008C44B6" w:rsidRDefault="008C44B6" w:rsidP="00C50F0A">
      <w:pPr>
        <w:rPr>
          <w:rFonts w:ascii="Montserrat" w:hAnsi="Montserrat"/>
          <w:color w:val="4472C4" w:themeColor="accent1"/>
        </w:rPr>
      </w:pPr>
    </w:p>
    <w:p w14:paraId="7DA408A5" w14:textId="6451BD62" w:rsidR="00C50F0A" w:rsidRP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  <w:color w:val="4472C4" w:themeColor="accent1"/>
        </w:rPr>
        <w:t>Entre:</w:t>
      </w:r>
      <w:r>
        <w:rPr>
          <w:rFonts w:ascii="Montserrat" w:hAnsi="Montserrat"/>
        </w:rPr>
        <w:t xml:space="preserve"> </w:t>
      </w:r>
    </w:p>
    <w:p w14:paraId="5AFECFBD" w14:textId="77777777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18ECA465" w14:textId="1B389250" w:rsidR="00C50F0A" w:rsidRPr="008C44B6" w:rsidRDefault="00C50F0A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b/>
          <w:bCs/>
          <w:color w:val="4472C4" w:themeColor="accent1"/>
          <w:sz w:val="24"/>
          <w:szCs w:val="24"/>
        </w:rPr>
        <w:t>Parte A:</w:t>
      </w:r>
    </w:p>
    <w:p w14:paraId="496B734F" w14:textId="7F0F0D34" w:rsidR="00C50F0A" w:rsidRPr="00C50F0A" w:rsidRDefault="00C50F0A" w:rsidP="00C50F0A">
      <w:pPr>
        <w:rPr>
          <w:rFonts w:ascii="Montserrat" w:hAnsi="Montserrat"/>
        </w:rPr>
      </w:pP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7F7A8B22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color w:val="4472C4" w:themeColor="accent1"/>
          <w:sz w:val="24"/>
          <w:szCs w:val="24"/>
        </w:rPr>
        <w:t>Parte B:</w:t>
      </w:r>
    </w:p>
    <w:p w14:paraId="0E4B0355" w14:textId="65A1109D" w:rsid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6F075729" w14:textId="0535CCC0" w:rsidR="008C44B6" w:rsidRPr="008C44B6" w:rsidRDefault="008C44B6" w:rsidP="008C44B6">
      <w:pPr>
        <w:jc w:val="right"/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(em conjunto, as “</w:t>
      </w:r>
      <w:r>
        <w:rPr>
          <w:rFonts w:ascii="Montserrat" w:hAnsi="Montserrat"/>
          <w:b/>
          <w:bCs/>
          <w:i/>
          <w:iCs/>
          <w:color w:val="4472C4" w:themeColor="accent1"/>
        </w:rPr>
        <w:t>Partes</w:t>
      </w:r>
      <w:r>
        <w:rPr>
          <w:rFonts w:ascii="Montserrat" w:hAnsi="Montserrat"/>
          <w:color w:val="4472C4" w:themeColor="accent1"/>
        </w:rPr>
        <w:t>”)</w:t>
      </w:r>
    </w:p>
    <w:p w14:paraId="39E65A12" w14:textId="65494F38" w:rsidR="00C50F0A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  <w:szCs w:val="24"/>
        </w:rPr>
        <w:t>Dirigido por</w:t>
      </w:r>
      <w:r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Mediador:</w:t>
      </w:r>
    </w:p>
    <w:p w14:paraId="10AB31B5" w14:textId="3418AB0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316559DF" w14:textId="09F5C6CF" w:rsidR="008C44B6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  <w:szCs w:val="24"/>
        </w:rPr>
        <w:t>Na</w:t>
      </w:r>
      <w:r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Data:</w:t>
      </w:r>
    </w:p>
    <w:p w14:paraId="33E0BBB5" w14:textId="34D8A85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76BE49AC" w14:textId="7757135C" w:rsidR="008C44B6" w:rsidRDefault="008C44B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 emitir pelo CEDR às Partes após a conclusão da Mediação e no prazo máximo de sessenta (60) dias úteis após a receção da Parte 1 do Formulário de Inscrição</w:t>
      </w:r>
    </w:p>
    <w:p w14:paraId="628E9832" w14:textId="09FB6204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BEBF684" w14:textId="765CEF3B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6529CFF" w14:textId="0A5DD8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D4775A0" w14:textId="49784DC5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74C65D2" w14:textId="38EAE84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6DEC8F6" w14:textId="4BD049ED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10B0EAA8" w14:textId="3CCC00C7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.</w:t>
      </w:r>
    </w:p>
    <w:p w14:paraId="67A6860C" w14:textId="7DB6C9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7C883796" w14:textId="77777777" w:rsidR="003A588A" w:rsidRDefault="003A588A" w:rsidP="00C50F0A">
      <w:pPr>
        <w:rPr>
          <w:rFonts w:ascii="Montserrat" w:hAnsi="Montserrat"/>
          <w:b/>
          <w:bCs/>
          <w:i/>
          <w:iCs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A incluir conforme apropriado.</w:t>
      </w:r>
    </w:p>
    <w:p w14:paraId="685D5604" w14:textId="24D0E259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]</w:t>
      </w:r>
    </w:p>
    <w:p w14:paraId="6CC2CBA4" w14:textId="367D954F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Em que foi acordada a resolução de todas as questões</w:t>
      </w:r>
    </w:p>
    <w:p w14:paraId="7044B019" w14:textId="47FAB616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Na sequência das tentativas das Partes de resolverem o seu litígio através do Processo de Mediação Google P2B, esta declaração de resultado confirma o acordo das Partes para colocarem um fim definitivo ao litígio.</w:t>
      </w:r>
    </w:p>
    <w:p w14:paraId="1FCF2BF3" w14:textId="69D5C8D0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985D4F7" w14:textId="2B4646E2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Os termos da resolução encontram-se estabelecidos na íntegra no Acordo de Resolução firmado entre as Partes.</w:t>
      </w:r>
    </w:p>
    <w:p w14:paraId="26E394F4" w14:textId="77777777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46A6AF2" w14:textId="0DD53D7F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OU</w:t>
      </w:r>
    </w:p>
    <w:p w14:paraId="48A4DF4B" w14:textId="781715E3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8AF96E8" w14:textId="5E424118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Caso tenha sido acordada uma resolução parcial</w:t>
      </w:r>
    </w:p>
    <w:p w14:paraId="2EC82B22" w14:textId="3A1E46CE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Na sequência das tentativas das Partes de resolverem o seu litígio através do Processo de Mediação Google P2B, esta declaração de resultado confirma que as Partes chegaram a acordo sobre as seguintes questões:</w:t>
      </w:r>
    </w:p>
    <w:p w14:paraId="0700683E" w14:textId="06DD8DAC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As Partes acordam os termos a serem inseridos.</w:t>
      </w:r>
      <w:r>
        <w:rPr>
          <w:rFonts w:ascii="Montserrat" w:hAnsi="Montserrat"/>
          <w:sz w:val="24"/>
          <w:szCs w:val="24"/>
        </w:rPr>
        <w:t>]</w:t>
      </w:r>
    </w:p>
    <w:p w14:paraId="7C90AA31" w14:textId="64DC3DFD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 mediação terminou.</w:t>
      </w:r>
    </w:p>
    <w:p w14:paraId="304E8EEB" w14:textId="2412F9A8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OU </w:t>
      </w:r>
    </w:p>
    <w:p w14:paraId="0234E895" w14:textId="42CB5EB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1B0F3F7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68BE2716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0EFE64DD" w14:textId="3C8C2D99" w:rsid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Caso não tenha sido acordada qualquer resolução</w:t>
      </w:r>
    </w:p>
    <w:p w14:paraId="60538482" w14:textId="7BDF412D" w:rsidR="001F4B46" w:rsidRPr="00003995" w:rsidRDefault="001F4B46" w:rsidP="00003995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Na sequência das tentativas das Partes de resolverem o seu litígio através do Processo de Mediação Google P2B, esta declaração de resultado confirma que as Partes não conseguiram chegar a um acordo sobre quaisquer questões em litígio.  A mediação terminou.</w:t>
      </w:r>
    </w:p>
    <w:sectPr w:rsidR="001F4B46" w:rsidRPr="00003995" w:rsidSect="004716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F945" w14:textId="77777777" w:rsidR="00F40396" w:rsidRDefault="00F40396" w:rsidP="001A6AB8">
      <w:pPr>
        <w:spacing w:after="0" w:line="240" w:lineRule="auto"/>
      </w:pPr>
      <w:r>
        <w:separator/>
      </w:r>
    </w:p>
  </w:endnote>
  <w:endnote w:type="continuationSeparator" w:id="0">
    <w:p w14:paraId="0E3AF2AB" w14:textId="77777777" w:rsidR="00F40396" w:rsidRDefault="00F40396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C30CD0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976771" w:rsidRPr="00C30CD0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4E82B8C3" w:rsidR="00976771" w:rsidRPr="004F7CDE" w:rsidRDefault="00E036CC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E6672D2" w14:textId="336722B2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 EC4</w:t>
          </w:r>
          <w:r w:rsidR="00E036CC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C50F0A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 +44 (0)20 7536 6000</w:t>
          </w:r>
        </w:p>
        <w:p w14:paraId="4FD2C4BF" w14:textId="716987AF" w:rsidR="00976771" w:rsidRPr="006139A1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  <w:u w:val="none"/>
              </w:rPr>
              <w:t>www.cedr.com/mediation/google</w:t>
            </w:r>
          </w:hyperlink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63D2B88A" w14:textId="37FD486C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 adr@cedr.com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509872F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3F42" w14:textId="77777777" w:rsidR="00F40396" w:rsidRDefault="00F40396" w:rsidP="001A6AB8">
      <w:pPr>
        <w:spacing w:after="0" w:line="240" w:lineRule="auto"/>
      </w:pPr>
      <w:r>
        <w:separator/>
      </w:r>
    </w:p>
  </w:footnote>
  <w:footnote w:type="continuationSeparator" w:id="0">
    <w:p w14:paraId="3B163838" w14:textId="77777777" w:rsidR="00F40396" w:rsidRDefault="00F40396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E036CC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7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E036CC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6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00399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Conflitos melhores, 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color w:val="25509E"/>
                        <w:sz w:val="22"/>
                        <w:szCs w:val="22"/>
                        <w:rFonts w:ascii="Montserrat" w:hAnsi="Montserrat" w:cs="Montserrat"/>
                      </w:rPr>
                    </w:pPr>
                    <w:r>
                      <w:rPr>
                        <w:color w:val="25509E"/>
                        <w:sz w:val="22"/>
                        <w:szCs w:val="22"/>
                        <w:rFonts w:ascii="Montserrat" w:hAnsi="Montserrat"/>
                      </w:rPr>
                      <w:t xml:space="preserve">Conflitos melhores, 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003995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E036CC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5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19762">
    <w:abstractNumId w:val="1"/>
  </w:num>
  <w:num w:numId="2" w16cid:durableId="515581853">
    <w:abstractNumId w:val="0"/>
  </w:num>
  <w:num w:numId="3" w16cid:durableId="54375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03995"/>
    <w:rsid w:val="0006461D"/>
    <w:rsid w:val="000A1EBF"/>
    <w:rsid w:val="000A229D"/>
    <w:rsid w:val="000F129B"/>
    <w:rsid w:val="00142FFA"/>
    <w:rsid w:val="0017482F"/>
    <w:rsid w:val="001802BC"/>
    <w:rsid w:val="00184EFF"/>
    <w:rsid w:val="001A6AB8"/>
    <w:rsid w:val="001F4B46"/>
    <w:rsid w:val="002012E7"/>
    <w:rsid w:val="0024308E"/>
    <w:rsid w:val="002467E1"/>
    <w:rsid w:val="002710D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139A1"/>
    <w:rsid w:val="00684E0C"/>
    <w:rsid w:val="00774C5F"/>
    <w:rsid w:val="007829DE"/>
    <w:rsid w:val="00791B59"/>
    <w:rsid w:val="007A41BA"/>
    <w:rsid w:val="0082182F"/>
    <w:rsid w:val="00877D33"/>
    <w:rsid w:val="008B6B67"/>
    <w:rsid w:val="008C44B6"/>
    <w:rsid w:val="008D154F"/>
    <w:rsid w:val="00947510"/>
    <w:rsid w:val="00976771"/>
    <w:rsid w:val="00A404D5"/>
    <w:rsid w:val="00AB2A82"/>
    <w:rsid w:val="00B27602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62D15"/>
    <w:rsid w:val="00E036CC"/>
    <w:rsid w:val="00E4753A"/>
    <w:rsid w:val="00E544F6"/>
    <w:rsid w:val="00E84168"/>
    <w:rsid w:val="00EB0F6A"/>
    <w:rsid w:val="00EC5326"/>
    <w:rsid w:val="00EE77D9"/>
    <w:rsid w:val="00EF5794"/>
    <w:rsid w:val="00F3529F"/>
    <w:rsid w:val="00F40396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r.com/mediation/goo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728B-AE0F-5F43-B7AA-FD1AB622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1175</Characters>
  <Application>Microsoft Office Word</Application>
  <DocSecurity>4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2022-08-02T13:55:00Z</dcterms:created>
  <dcterms:modified xsi:type="dcterms:W3CDTF">2022-08-02T13:55:00Z</dcterms:modified>
</cp:coreProperties>
</file>