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4308" w14:textId="5D9997F7" w:rsidR="00C50F0A" w:rsidRPr="008C44B6" w:rsidRDefault="00C50F0A" w:rsidP="00C50F0A">
      <w:pPr>
        <w:rPr>
          <w:rFonts w:ascii="Montserrat" w:hAnsi="Montserrat"/>
          <w:b/>
          <w:bCs/>
          <w:color w:val="1A4FA6"/>
          <w:sz w:val="48"/>
          <w:szCs w:val="48"/>
        </w:rPr>
      </w:pPr>
      <w:r>
        <w:rPr>
          <w:rFonts w:ascii="Montserrat" w:hAnsi="Montserrat"/>
          <w:b/>
          <w:color w:val="1A4FA6"/>
          <w:sz w:val="48"/>
        </w:rPr>
        <w:t>Proces mediacji P2B firmy Google</w:t>
      </w:r>
    </w:p>
    <w:p w14:paraId="76D4EB55" w14:textId="01D7C43F" w:rsidR="008C44B6" w:rsidRPr="008C44B6" w:rsidRDefault="008C44B6" w:rsidP="00C50F0A">
      <w:pPr>
        <w:rPr>
          <w:rFonts w:ascii="Montserrat" w:hAnsi="Montserrat"/>
          <w:b/>
          <w:bCs/>
          <w:color w:val="1A4FA6"/>
          <w:sz w:val="48"/>
          <w:szCs w:val="48"/>
        </w:rPr>
      </w:pPr>
      <w:r>
        <w:rPr>
          <w:rFonts w:ascii="Montserrat" w:hAnsi="Montserrat"/>
          <w:b/>
          <w:color w:val="1A4FA6"/>
          <w:sz w:val="48"/>
        </w:rPr>
        <w:t>Oświadczenie dotyczące wyników</w:t>
      </w:r>
    </w:p>
    <w:p w14:paraId="4D62C80C" w14:textId="77777777" w:rsidR="00C50F0A" w:rsidRDefault="00C50F0A" w:rsidP="00C50F0A">
      <w:pPr>
        <w:rPr>
          <w:rFonts w:ascii="Montserrat" w:hAnsi="Montserrat"/>
        </w:rPr>
      </w:pPr>
    </w:p>
    <w:p w14:paraId="2EDB4CE4" w14:textId="29B112E2" w:rsidR="008C44B6" w:rsidRDefault="008C44B6" w:rsidP="00C50F0A">
      <w:pPr>
        <w:rPr>
          <w:rFonts w:ascii="Montserrat" w:hAnsi="Montserrat"/>
          <w:color w:val="4472C4" w:themeColor="accent1"/>
        </w:rPr>
      </w:pPr>
      <w:r>
        <w:rPr>
          <w:rFonts w:ascii="Montserrat" w:hAnsi="Montserrat"/>
          <w:color w:val="4472C4" w:themeColor="accent1"/>
        </w:rPr>
        <w:t>Numer referencyjny sprawy:</w:t>
      </w:r>
    </w:p>
    <w:p w14:paraId="33AEFEA1" w14:textId="77777777" w:rsidR="008C44B6" w:rsidRDefault="008C44B6" w:rsidP="00C50F0A">
      <w:pPr>
        <w:rPr>
          <w:rFonts w:ascii="Montserrat" w:hAnsi="Montserrat"/>
          <w:color w:val="4472C4" w:themeColor="accent1"/>
        </w:rPr>
      </w:pPr>
    </w:p>
    <w:p w14:paraId="7DA408A5" w14:textId="6451BD62" w:rsidR="00C50F0A" w:rsidRPr="00C50F0A" w:rsidRDefault="008C44B6" w:rsidP="00C50F0A">
      <w:pPr>
        <w:rPr>
          <w:rFonts w:ascii="Montserrat" w:hAnsi="Montserrat"/>
        </w:rPr>
      </w:pPr>
      <w:r>
        <w:rPr>
          <w:rFonts w:ascii="Montserrat" w:hAnsi="Montserrat"/>
          <w:color w:val="4472C4" w:themeColor="accent1"/>
        </w:rPr>
        <w:t>Pomiędzy:</w:t>
      </w:r>
      <w:r>
        <w:rPr>
          <w:rFonts w:ascii="Montserrat" w:hAnsi="Montserrat"/>
        </w:rPr>
        <w:t xml:space="preserve"> </w:t>
      </w:r>
    </w:p>
    <w:p w14:paraId="5AFECFBD" w14:textId="77777777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18ECA465" w14:textId="1B389250" w:rsidR="00C50F0A" w:rsidRPr="008C44B6" w:rsidRDefault="00C50F0A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b/>
          <w:color w:val="4472C4" w:themeColor="accent1"/>
          <w:sz w:val="24"/>
        </w:rPr>
        <w:t>Strona A:</w:t>
      </w:r>
    </w:p>
    <w:p w14:paraId="496B734F" w14:textId="7F0F0D34" w:rsidR="00C50F0A" w:rsidRPr="00C50F0A" w:rsidRDefault="00C50F0A" w:rsidP="00C50F0A">
      <w:pPr>
        <w:rPr>
          <w:rFonts w:ascii="Montserrat" w:hAnsi="Montserrat"/>
        </w:rPr>
      </w:pPr>
    </w:p>
    <w:p w14:paraId="306D575C" w14:textId="77777777" w:rsidR="00C50F0A" w:rsidRDefault="00C50F0A" w:rsidP="00C50F0A">
      <w:pPr>
        <w:rPr>
          <w:rFonts w:ascii="Montserrat" w:hAnsi="Montserrat"/>
          <w:b/>
          <w:bCs/>
        </w:rPr>
      </w:pPr>
    </w:p>
    <w:p w14:paraId="3A337584" w14:textId="7F7A8B22" w:rsidR="00C50F0A" w:rsidRDefault="00C50F0A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color w:val="4472C4" w:themeColor="accent1"/>
          <w:sz w:val="24"/>
        </w:rPr>
        <w:t>Strona B:</w:t>
      </w:r>
    </w:p>
    <w:p w14:paraId="0E4B0355" w14:textId="65A1109D" w:rsidR="00C50F0A" w:rsidRDefault="008C44B6" w:rsidP="00C50F0A">
      <w:pPr>
        <w:rPr>
          <w:rFonts w:ascii="Montserrat" w:hAnsi="Montserrat"/>
        </w:rPr>
      </w:pPr>
      <w:r>
        <w:rPr>
          <w:rFonts w:ascii="Montserrat" w:hAnsi="Montserrat"/>
        </w:rPr>
        <w:t xml:space="preserve"> </w:t>
      </w:r>
    </w:p>
    <w:p w14:paraId="6F075729" w14:textId="0535CCC0" w:rsidR="008C44B6" w:rsidRPr="008C44B6" w:rsidRDefault="008C44B6" w:rsidP="008C44B6">
      <w:pPr>
        <w:jc w:val="right"/>
        <w:rPr>
          <w:rFonts w:ascii="Montserrat" w:hAnsi="Montserrat"/>
          <w:color w:val="4472C4" w:themeColor="accent1"/>
        </w:rPr>
      </w:pPr>
      <w:r>
        <w:rPr>
          <w:rFonts w:ascii="Montserrat" w:hAnsi="Montserrat"/>
          <w:color w:val="4472C4" w:themeColor="accent1"/>
        </w:rPr>
        <w:t xml:space="preserve">(łącznie określane jako </w:t>
      </w:r>
      <w:r>
        <w:rPr>
          <w:rFonts w:ascii="Montserrat" w:hAnsi="Montserrat"/>
          <w:b/>
          <w:bCs/>
          <w:i/>
          <w:iCs/>
          <w:color w:val="4472C4" w:themeColor="accent1"/>
        </w:rPr>
        <w:t>„Strony”</w:t>
      </w:r>
      <w:r>
        <w:rPr>
          <w:rFonts w:ascii="Montserrat" w:hAnsi="Montserrat"/>
          <w:color w:val="4472C4" w:themeColor="accent1"/>
        </w:rPr>
        <w:t>)</w:t>
      </w:r>
    </w:p>
    <w:p w14:paraId="39E65A12" w14:textId="65494F38" w:rsidR="00C50F0A" w:rsidRPr="008C44B6" w:rsidRDefault="008C44B6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color w:val="4472C4" w:themeColor="accent1"/>
          <w:sz w:val="24"/>
        </w:rPr>
        <w:t>Prowadzona przez</w:t>
      </w:r>
      <w:r>
        <w:rPr>
          <w:rFonts w:ascii="Montserrat" w:hAnsi="Montserrat"/>
          <w:b/>
          <w:color w:val="4472C4" w:themeColor="accent1"/>
          <w:sz w:val="24"/>
        </w:rPr>
        <w:t xml:space="preserve"> Mediatora:</w:t>
      </w:r>
    </w:p>
    <w:p w14:paraId="10AB31B5" w14:textId="3418AB03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316559DF" w14:textId="09F5C6CF" w:rsidR="008C44B6" w:rsidRPr="008C44B6" w:rsidRDefault="008C44B6" w:rsidP="00C50F0A">
      <w:pPr>
        <w:rPr>
          <w:rFonts w:ascii="Montserrat" w:hAnsi="Montserrat"/>
          <w:b/>
          <w:bCs/>
          <w:color w:val="4472C4" w:themeColor="accent1"/>
          <w:sz w:val="24"/>
          <w:szCs w:val="24"/>
        </w:rPr>
      </w:pPr>
      <w:r>
        <w:rPr>
          <w:rFonts w:ascii="Montserrat" w:hAnsi="Montserrat"/>
          <w:color w:val="4472C4" w:themeColor="accent1"/>
          <w:sz w:val="24"/>
        </w:rPr>
        <w:t xml:space="preserve">W </w:t>
      </w:r>
      <w:r>
        <w:rPr>
          <w:rFonts w:ascii="Montserrat" w:hAnsi="Montserrat"/>
          <w:b/>
          <w:color w:val="4472C4" w:themeColor="accent1"/>
          <w:sz w:val="24"/>
        </w:rPr>
        <w:t>dniu:</w:t>
      </w:r>
    </w:p>
    <w:p w14:paraId="33E0BBB5" w14:textId="34D8A853" w:rsidR="008C44B6" w:rsidRDefault="008C44B6" w:rsidP="00C50F0A">
      <w:pPr>
        <w:rPr>
          <w:rFonts w:ascii="Montserrat" w:hAnsi="Montserrat"/>
          <w:b/>
          <w:bCs/>
          <w:sz w:val="24"/>
          <w:szCs w:val="24"/>
        </w:rPr>
      </w:pPr>
    </w:p>
    <w:p w14:paraId="76BE49AC" w14:textId="7757135C" w:rsidR="008C44B6" w:rsidRDefault="008C44B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Do przekazania przez CEDR Stronom po zakończeniu mediacji, nie później niż sześćdziesiąt (60) dni roboczych po otrzymaniu Części 1 formularza wniosku</w:t>
      </w:r>
    </w:p>
    <w:p w14:paraId="628E9832" w14:textId="09FB6204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0BEBF684" w14:textId="765CEF3B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66529CFF" w14:textId="0A5DD881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D4775A0" w14:textId="49784DC5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74C65D2" w14:textId="38EAE84E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6DEC8F6" w14:textId="4BD049ED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10B0EAA8" w14:textId="3CCC00C7" w:rsidR="001F4B46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.</w:t>
      </w:r>
      <w:bookmarkStart w:id="0" w:name="_GoBack"/>
      <w:bookmarkEnd w:id="0"/>
    </w:p>
    <w:p w14:paraId="67A6860C" w14:textId="7DB6C981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685D5604" w14:textId="3E15D8D8" w:rsidR="003A588A" w:rsidRPr="003A588A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[</w:t>
      </w:r>
      <w:r>
        <w:rPr>
          <w:rFonts w:ascii="Montserrat" w:hAnsi="Montserrat"/>
          <w:b/>
          <w:i/>
          <w:sz w:val="24"/>
        </w:rPr>
        <w:t>Załączyć w stosownych przypadkach.</w:t>
      </w:r>
      <w:r>
        <w:rPr>
          <w:rFonts w:ascii="Montserrat" w:hAnsi="Montserrat"/>
          <w:sz w:val="24"/>
        </w:rPr>
        <w:t>]</w:t>
      </w:r>
    </w:p>
    <w:p w14:paraId="6CC2CBA4" w14:textId="367D954F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</w:rPr>
        <w:t>W przypadku uzgodnienia rozstrzygnięcia wszystkich kwestii spornych</w:t>
      </w:r>
    </w:p>
    <w:p w14:paraId="7044B019" w14:textId="47FAB616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Po podjęciu prób rozstrzygnięcia sporu przez Strony w ramach procesu mediacji P2B firmy Google niniejsze oświadczenie dotyczące wyników potwierdza zgodę Stron na skuteczne zakończenie sporu.</w:t>
      </w:r>
    </w:p>
    <w:p w14:paraId="1FCF2BF3" w14:textId="69D5C8D0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985D4F7" w14:textId="2B4646E2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Warunki rozwiązania ugodowego są określone w całości w zawartej przez Strony Umowie dotyczącej ugody.</w:t>
      </w:r>
    </w:p>
    <w:p w14:paraId="26E394F4" w14:textId="77777777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046A6AF2" w14:textId="0DD53D7F" w:rsidR="001F4B46" w:rsidRPr="001F4B46" w:rsidRDefault="001F4B46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sz w:val="24"/>
        </w:rPr>
        <w:t>LUB</w:t>
      </w:r>
    </w:p>
    <w:p w14:paraId="48A4DF4B" w14:textId="781715E3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28AF96E8" w14:textId="5E424118" w:rsidR="001F4B46" w:rsidRP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</w:rPr>
        <w:t>W przypadku uzgodnienia ugody częściowej</w:t>
      </w:r>
    </w:p>
    <w:p w14:paraId="2EC82B22" w14:textId="3A1E46CE" w:rsidR="001F4B46" w:rsidRDefault="001F4B46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Po podjęciu prób rozstrzygnięcia sporu przez Strony w ramach procesu mediacji P2B firmy Google niniejsze oświadczenie dotyczące wyników potwierdza, że Strony doszły do porozumienia ugodowego w odniesieniu do następujących kwestii:</w:t>
      </w:r>
    </w:p>
    <w:p w14:paraId="0700683E" w14:textId="06DD8DAC" w:rsidR="001F4B46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[</w:t>
      </w:r>
      <w:r>
        <w:rPr>
          <w:rFonts w:ascii="Montserrat" w:hAnsi="Montserrat"/>
          <w:b/>
          <w:i/>
          <w:sz w:val="24"/>
        </w:rPr>
        <w:t>Strony uzgadniają warunki, które mają zostać wprowadzone.</w:t>
      </w:r>
      <w:r>
        <w:rPr>
          <w:rFonts w:ascii="Montserrat" w:hAnsi="Montserrat"/>
          <w:sz w:val="24"/>
        </w:rPr>
        <w:t>]</w:t>
      </w:r>
    </w:p>
    <w:p w14:paraId="7C90AA31" w14:textId="64DC3DFD" w:rsidR="003A588A" w:rsidRPr="003A588A" w:rsidRDefault="003A588A" w:rsidP="00C50F0A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Mediacja dobiegła końca.</w:t>
      </w:r>
    </w:p>
    <w:p w14:paraId="304E8EEB" w14:textId="2412F9A8" w:rsidR="001F4B46" w:rsidRPr="001F4B46" w:rsidRDefault="001F4B46" w:rsidP="00C50F0A">
      <w:pPr>
        <w:rPr>
          <w:rFonts w:ascii="Montserrat" w:hAnsi="Montserrat"/>
          <w:b/>
          <w:bCs/>
          <w:sz w:val="24"/>
          <w:szCs w:val="24"/>
        </w:rPr>
      </w:pPr>
      <w:r>
        <w:rPr>
          <w:rFonts w:ascii="Montserrat" w:hAnsi="Montserrat"/>
          <w:b/>
          <w:sz w:val="24"/>
        </w:rPr>
        <w:t xml:space="preserve">LUB </w:t>
      </w:r>
    </w:p>
    <w:p w14:paraId="0234E895" w14:textId="42CB5EBE" w:rsidR="001F4B46" w:rsidRDefault="001F4B46" w:rsidP="00C50F0A">
      <w:pPr>
        <w:rPr>
          <w:rFonts w:ascii="Montserrat" w:hAnsi="Montserrat"/>
          <w:sz w:val="24"/>
          <w:szCs w:val="24"/>
        </w:rPr>
      </w:pPr>
    </w:p>
    <w:p w14:paraId="41B0F3F7" w14:textId="77777777" w:rsidR="004271EA" w:rsidRDefault="004271EA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p w14:paraId="68BE2716" w14:textId="77777777" w:rsidR="004271EA" w:rsidRDefault="004271EA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</w:p>
    <w:p w14:paraId="0EFE64DD" w14:textId="3C8C2D99" w:rsidR="001F4B46" w:rsidRDefault="001F4B46" w:rsidP="00C50F0A">
      <w:pPr>
        <w:rPr>
          <w:rFonts w:ascii="Montserrat SemiBold" w:hAnsi="Montserrat SemiBold"/>
          <w:color w:val="4472C4" w:themeColor="accent1"/>
          <w:sz w:val="32"/>
          <w:szCs w:val="32"/>
        </w:rPr>
      </w:pPr>
      <w:r>
        <w:rPr>
          <w:rFonts w:ascii="Montserrat SemiBold" w:hAnsi="Montserrat SemiBold"/>
          <w:color w:val="4472C4" w:themeColor="accent1"/>
          <w:sz w:val="32"/>
        </w:rPr>
        <w:t>Nie uzgodniono rozwiązania ugodowego.</w:t>
      </w:r>
    </w:p>
    <w:p w14:paraId="60538482" w14:textId="2C027B1E" w:rsidR="001F4B46" w:rsidRPr="00D64488" w:rsidRDefault="001F4B46" w:rsidP="00D64488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</w:rPr>
        <w:t>Po podjęciu prób rozstrzygnięcia sporu przez Strony w ramach procesu mediacji P2B firmy Google niniejsze oświadczenie dotyczące wyników potwierdza, że Strony nie były w stanie uzgodnić rozwiązania ugodowego umożliwiającego skuteczne zakończenie sporu.  Mediacja dobiegła końca.</w:t>
      </w:r>
    </w:p>
    <w:sectPr w:rsidR="001F4B46" w:rsidRPr="00D64488" w:rsidSect="004716F1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843" w:right="851" w:bottom="2127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F945" w14:textId="77777777" w:rsidR="00F40396" w:rsidRDefault="00F40396" w:rsidP="001A6AB8">
      <w:pPr>
        <w:spacing w:after="0" w:line="240" w:lineRule="auto"/>
      </w:pPr>
      <w:r>
        <w:separator/>
      </w:r>
    </w:p>
  </w:endnote>
  <w:endnote w:type="continuationSeparator" w:id="0">
    <w:p w14:paraId="0E3AF2AB" w14:textId="77777777" w:rsidR="00F40396" w:rsidRDefault="00F40396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480"/>
      <w:gridCol w:w="4854"/>
    </w:tblGrid>
    <w:tr w:rsidR="00976771" w:rsidRPr="004F7CDE" w14:paraId="42B94F7D" w14:textId="77777777" w:rsidTr="005364BD">
      <w:trPr>
        <w:gridAfter w:val="1"/>
        <w:wAfter w:w="4854" w:type="dxa"/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976771" w:rsidRPr="006D4EE6" w:rsidRDefault="00976771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  <w:lang w:val="en-US"/>
            </w:rPr>
          </w:pPr>
          <w:r w:rsidRPr="006D4EE6">
            <w:rPr>
              <w:rFonts w:ascii="Montserrat SemiBold" w:hAnsi="Montserrat SemiBold"/>
              <w:b/>
              <w:color w:val="FFFFFF" w:themeColor="background1"/>
              <w:sz w:val="16"/>
              <w:lang w:val="en-US"/>
            </w:rPr>
            <w:t>Centre for Effective</w:t>
          </w:r>
        </w:p>
        <w:p w14:paraId="61B7454B" w14:textId="46DA41A9" w:rsidR="00976771" w:rsidRPr="006D4EE6" w:rsidRDefault="00976771" w:rsidP="00877D33">
          <w:pPr>
            <w:pStyle w:val="Footer"/>
            <w:spacing w:before="60"/>
            <w:rPr>
              <w:rFonts w:ascii="Montserrat SemiBold" w:hAnsi="Montserrat SemiBold" w:cs="Montserrat SemiBold"/>
              <w:b/>
              <w:bCs/>
              <w:color w:val="FFFFFF" w:themeColor="background1"/>
              <w:sz w:val="16"/>
              <w:szCs w:val="16"/>
              <w:lang w:val="en-US"/>
            </w:rPr>
          </w:pPr>
          <w:r w:rsidRPr="006D4EE6">
            <w:rPr>
              <w:rFonts w:ascii="Montserrat SemiBold" w:hAnsi="Montserrat SemiBold"/>
              <w:b/>
              <w:color w:val="FFFFFF" w:themeColor="background1"/>
              <w:sz w:val="16"/>
              <w:lang w:val="en-US"/>
            </w:rPr>
            <w:t>Dispute Resolution</w:t>
          </w:r>
        </w:p>
        <w:p w14:paraId="6BF14AC7" w14:textId="2A753E89" w:rsidR="00976771" w:rsidRPr="006D4EE6" w:rsidRDefault="0084001E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US"/>
            </w:rPr>
          </w:pPr>
          <w:r>
            <w:rPr>
              <w:rFonts w:ascii="Montserrat" w:hAnsi="Montserrat"/>
              <w:color w:val="FFFFFF" w:themeColor="background1"/>
              <w:sz w:val="16"/>
              <w:lang w:val="en-US"/>
            </w:rPr>
            <w:t>100 St. Paul’s Churchyard</w:t>
          </w:r>
        </w:p>
        <w:p w14:paraId="2E6672D2" w14:textId="389116C8" w:rsidR="00976771" w:rsidRPr="005364BD" w:rsidRDefault="00976771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Londyn EC4</w:t>
          </w:r>
          <w:r w:rsidR="0084001E">
            <w:rPr>
              <w:rFonts w:ascii="Montserrat" w:hAnsi="Montserrat"/>
              <w:color w:val="FFFFFF" w:themeColor="background1"/>
              <w:sz w:val="16"/>
            </w:rPr>
            <w:t>M 8BU</w:t>
          </w:r>
        </w:p>
      </w:tc>
      <w:tc>
        <w:tcPr>
          <w:tcW w:w="3480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76C157F1" w:rsidR="00976771" w:rsidRPr="00C50F0A" w:rsidRDefault="00976771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Tel.:  +44 (0)20 7536 6000</w:t>
          </w:r>
        </w:p>
        <w:p w14:paraId="4FD2C4BF" w14:textId="716987AF" w:rsidR="00976771" w:rsidRPr="006139A1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Strona www: </w:t>
          </w:r>
          <w:hyperlink r:id="rId1" w:history="1">
            <w:r>
              <w:rPr>
                <w:rStyle w:val="Hyperlink"/>
                <w:rFonts w:ascii="Montserrat" w:hAnsi="Montserrat"/>
                <w:color w:val="FFFFFF" w:themeColor="background1"/>
                <w:sz w:val="16"/>
                <w:szCs w:val="16"/>
                <w:u w:val="none"/>
              </w:rPr>
              <w:t>www.cedr.com/mediation/google</w:t>
            </w:r>
          </w:hyperlink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63D2B88A" w14:textId="37FD486C" w:rsidR="00976771" w:rsidRPr="00C50F0A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 w:cs="Arial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E-mail:  adr@cedr.com</w:t>
          </w:r>
        </w:p>
        <w:p w14:paraId="73D20DFB" w14:textId="19521B85" w:rsidR="00976771" w:rsidRPr="004F7CDE" w:rsidRDefault="00976771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976771" w:rsidRPr="004F7CDE" w:rsidRDefault="00976771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</w:tr>
    <w:tr w:rsidR="004F7CDE" w:rsidRPr="004F7CDE" w14:paraId="514FFAB6" w14:textId="77777777" w:rsidTr="005364BD">
      <w:trPr>
        <w:trHeight w:val="66"/>
      </w:trPr>
      <w:tc>
        <w:tcPr>
          <w:tcW w:w="11058" w:type="dxa"/>
          <w:gridSpan w:val="3"/>
        </w:tcPr>
        <w:p w14:paraId="3426D897" w14:textId="509872FD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Rejestracja w Anglii nr 2422813     Zarejestrowana organizacja charytatywna nr 1060369     © CEDR 2020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64CF9C48">
              <wp:simplePos x="0" y="0"/>
              <wp:positionH relativeFrom="column">
                <wp:posOffset>-940435</wp:posOffset>
              </wp:positionH>
              <wp:positionV relativeFrom="paragraph">
                <wp:posOffset>-1078865</wp:posOffset>
              </wp:positionV>
              <wp:extent cx="8119744" cy="1271270"/>
              <wp:effectExtent l="0" t="0" r="0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271270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05pt;margin-top:-84.95pt;width:639.35pt;height:100.1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83F42" w14:textId="77777777" w:rsidR="00F40396" w:rsidRDefault="00F40396" w:rsidP="001A6AB8">
      <w:pPr>
        <w:spacing w:after="0" w:line="240" w:lineRule="auto"/>
      </w:pPr>
      <w:r>
        <w:separator/>
      </w:r>
    </w:p>
  </w:footnote>
  <w:footnote w:type="continuationSeparator" w:id="0">
    <w:p w14:paraId="3B163838" w14:textId="77777777" w:rsidR="00F40396" w:rsidRDefault="00F40396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84001E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7" type="#_x0000_t75" alt="" style="position:absolute;margin-left:0;margin-top:0;width:604.65pt;height:298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84001E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26" type="#_x0000_t75" alt="" style="position:absolute;margin-left:0;margin-top:0;width:604.65pt;height:298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  <w:r w:rsidR="00D5564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C50F0A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Montserrat" w:hAnsi="Montserrat"/>
                              <w:color w:val="25509E"/>
                              <w:sz w:val="22"/>
                            </w:rPr>
                            <w:t>Lepsze konflikty, lepsze wyniki, lepszy świat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C50F0A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>
                      <w:rPr>
                        <w:rFonts w:ascii="Montserrat" w:hAnsi="Montserrat"/>
                        <w:color w:val="25509E"/>
                        <w:sz w:val="22"/>
                      </w:rPr>
                      <w:t>Lepsze konflikty, lepsze wyniki, lepszy świat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D55646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84001E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5" type="#_x0000_t75" alt="" style="position:absolute;margin-left:0;margin-top:0;width:604.65pt;height:298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E7E62"/>
    <w:multiLevelType w:val="multilevel"/>
    <w:tmpl w:val="A8DEDBD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D96422"/>
    <w:multiLevelType w:val="multilevel"/>
    <w:tmpl w:val="5F8031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6461D"/>
    <w:rsid w:val="000A1EBF"/>
    <w:rsid w:val="000A229D"/>
    <w:rsid w:val="000F129B"/>
    <w:rsid w:val="00142FFA"/>
    <w:rsid w:val="0017482F"/>
    <w:rsid w:val="001802BC"/>
    <w:rsid w:val="00184EFF"/>
    <w:rsid w:val="001A6AB8"/>
    <w:rsid w:val="001F4B46"/>
    <w:rsid w:val="002012E7"/>
    <w:rsid w:val="0024308E"/>
    <w:rsid w:val="002467E1"/>
    <w:rsid w:val="002710D1"/>
    <w:rsid w:val="002A163C"/>
    <w:rsid w:val="002B6F1B"/>
    <w:rsid w:val="002F63CE"/>
    <w:rsid w:val="002F6B18"/>
    <w:rsid w:val="00307036"/>
    <w:rsid w:val="00342494"/>
    <w:rsid w:val="0036441D"/>
    <w:rsid w:val="003A0ACE"/>
    <w:rsid w:val="003A588A"/>
    <w:rsid w:val="003C18ED"/>
    <w:rsid w:val="003F392C"/>
    <w:rsid w:val="0042710E"/>
    <w:rsid w:val="004271EA"/>
    <w:rsid w:val="00440E79"/>
    <w:rsid w:val="004716F1"/>
    <w:rsid w:val="004A1306"/>
    <w:rsid w:val="004D04F7"/>
    <w:rsid w:val="004F7CDE"/>
    <w:rsid w:val="004F7FAF"/>
    <w:rsid w:val="005334BE"/>
    <w:rsid w:val="005364BD"/>
    <w:rsid w:val="00590754"/>
    <w:rsid w:val="005A7CF3"/>
    <w:rsid w:val="005B7D6E"/>
    <w:rsid w:val="005B7E2F"/>
    <w:rsid w:val="005E03C1"/>
    <w:rsid w:val="005E31A5"/>
    <w:rsid w:val="005E6403"/>
    <w:rsid w:val="006139A1"/>
    <w:rsid w:val="00684E0C"/>
    <w:rsid w:val="006D4EE6"/>
    <w:rsid w:val="00774C5F"/>
    <w:rsid w:val="007829DE"/>
    <w:rsid w:val="00791B59"/>
    <w:rsid w:val="007A41BA"/>
    <w:rsid w:val="0082182F"/>
    <w:rsid w:val="0084001E"/>
    <w:rsid w:val="00877D33"/>
    <w:rsid w:val="008B6B67"/>
    <w:rsid w:val="008C44B6"/>
    <w:rsid w:val="008D154F"/>
    <w:rsid w:val="00947510"/>
    <w:rsid w:val="00976771"/>
    <w:rsid w:val="00A404D5"/>
    <w:rsid w:val="00AB2A82"/>
    <w:rsid w:val="00B27602"/>
    <w:rsid w:val="00BF2C32"/>
    <w:rsid w:val="00C1796E"/>
    <w:rsid w:val="00C30CD0"/>
    <w:rsid w:val="00C50F0A"/>
    <w:rsid w:val="00CA0DCF"/>
    <w:rsid w:val="00CB6D22"/>
    <w:rsid w:val="00CC25CF"/>
    <w:rsid w:val="00CE3373"/>
    <w:rsid w:val="00D03C76"/>
    <w:rsid w:val="00D55646"/>
    <w:rsid w:val="00D62D15"/>
    <w:rsid w:val="00D64488"/>
    <w:rsid w:val="00E4753A"/>
    <w:rsid w:val="00E544F6"/>
    <w:rsid w:val="00E84168"/>
    <w:rsid w:val="00EB0F6A"/>
    <w:rsid w:val="00EC5326"/>
    <w:rsid w:val="00EE77D9"/>
    <w:rsid w:val="00EF5794"/>
    <w:rsid w:val="00F3529F"/>
    <w:rsid w:val="00F40396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467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76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4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dr.com/mediation/goog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A163-2C8C-41ED-8855-142A857B8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D5F2D-4ADF-4FB0-8DD2-1B03B54C8E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BCD9B-3AB1-4A2A-B713-8291AD1FCE06}">
  <ds:schemaRefs>
    <ds:schemaRef ds:uri="http://purl.org/dc/elements/1.1/"/>
    <ds:schemaRef ds:uri="3bbb9330-ebfe-40c7-93bd-11ff205213b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edb2e3b-e544-4abd-89c2-f34b16f9d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2DBEF2-C626-403E-A1B7-702E13CE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2022-08-03T13:18:00Z</dcterms:created>
  <dcterms:modified xsi:type="dcterms:W3CDTF">2022-08-03T13:18:00Z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